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B102" w14:textId="37418BED" w:rsidR="004E567A" w:rsidRDefault="00F46746" w:rsidP="00223919">
      <w:pPr>
        <w:rPr>
          <w:b/>
          <w:bCs/>
          <w:sz w:val="36"/>
          <w:szCs w:val="36"/>
        </w:rPr>
      </w:pPr>
      <w:r w:rsidRPr="00AF0F68">
        <w:rPr>
          <w:b/>
          <w:bCs/>
          <w:sz w:val="36"/>
          <w:szCs w:val="36"/>
        </w:rPr>
        <w:t xml:space="preserve">Glissade de </w:t>
      </w:r>
      <w:r w:rsidR="005D3724" w:rsidRPr="00AF0F68">
        <w:rPr>
          <w:b/>
          <w:bCs/>
          <w:sz w:val="36"/>
          <w:szCs w:val="36"/>
        </w:rPr>
        <w:t xml:space="preserve">l’été </w:t>
      </w:r>
      <w:r w:rsidR="005D3724">
        <w:rPr>
          <w:b/>
          <w:bCs/>
          <w:sz w:val="36"/>
          <w:szCs w:val="36"/>
        </w:rPr>
        <w:t>–</w:t>
      </w:r>
      <w:r w:rsidR="00223919" w:rsidRPr="00AF0F68">
        <w:rPr>
          <w:b/>
          <w:bCs/>
          <w:sz w:val="36"/>
          <w:szCs w:val="36"/>
        </w:rPr>
        <w:t xml:space="preserve"> </w:t>
      </w:r>
      <w:r w:rsidR="004E567A" w:rsidRPr="00AF0F68">
        <w:rPr>
          <w:b/>
          <w:bCs/>
          <w:sz w:val="36"/>
          <w:szCs w:val="36"/>
        </w:rPr>
        <w:t>Références</w:t>
      </w:r>
      <w:r w:rsidR="005D3724">
        <w:rPr>
          <w:b/>
          <w:bCs/>
          <w:sz w:val="36"/>
          <w:szCs w:val="36"/>
        </w:rPr>
        <w:t xml:space="preserve"> 2024</w:t>
      </w:r>
      <w:r w:rsidR="004E567A" w:rsidRPr="00AF0F68">
        <w:rPr>
          <w:b/>
          <w:bCs/>
          <w:sz w:val="36"/>
          <w:szCs w:val="36"/>
        </w:rPr>
        <w:t xml:space="preserve"> </w:t>
      </w:r>
      <w:r w:rsidR="00AD4E74">
        <w:rPr>
          <w:b/>
          <w:bCs/>
          <w:sz w:val="36"/>
          <w:szCs w:val="36"/>
        </w:rPr>
        <w:br/>
      </w:r>
      <w:r w:rsidR="00AD4E74" w:rsidRPr="00AD4E74">
        <w:rPr>
          <w:sz w:val="18"/>
          <w:szCs w:val="18"/>
        </w:rPr>
        <w:t>Mise à jour : 26 janvier 2024</w:t>
      </w:r>
    </w:p>
    <w:p w14:paraId="714B9C89" w14:textId="77777777" w:rsidR="00546F12" w:rsidRDefault="00546F12" w:rsidP="005D3724"/>
    <w:p w14:paraId="383BB817" w14:textId="19602E69" w:rsidR="00AF0F68" w:rsidRPr="00E365E7" w:rsidRDefault="0002597E" w:rsidP="00232697">
      <w:pPr>
        <w:pStyle w:val="Numroderfrence"/>
      </w:pPr>
      <w:r>
        <w:t>Mots-clés : loisirs</w:t>
      </w:r>
      <w:r w:rsidR="00CB562B">
        <w:t xml:space="preserve"> -</w:t>
      </w:r>
      <w:r>
        <w:t xml:space="preserve"> intégration sociale</w:t>
      </w:r>
      <w:r w:rsidR="00CB562B">
        <w:t xml:space="preserve"> -</w:t>
      </w:r>
      <w:r>
        <w:t xml:space="preserve"> nouveaux arrivants</w:t>
      </w:r>
      <w:r w:rsidR="00CB562B">
        <w:t xml:space="preserve"> - contexte interculturel</w:t>
      </w:r>
    </w:p>
    <w:p w14:paraId="36E0866A" w14:textId="28135852" w:rsidR="007112EB" w:rsidRPr="007112EB" w:rsidRDefault="007112EB" w:rsidP="007112EB">
      <w:pPr>
        <w:rPr>
          <w:b/>
          <w:bCs/>
        </w:rPr>
      </w:pPr>
      <w:r w:rsidRPr="007112EB">
        <w:rPr>
          <w:b/>
          <w:bCs/>
        </w:rPr>
        <w:t>ADJIZIAN</w:t>
      </w:r>
      <w:r>
        <w:rPr>
          <w:b/>
          <w:bCs/>
        </w:rPr>
        <w:t>,</w:t>
      </w:r>
      <w:r w:rsidRPr="007112EB">
        <w:rPr>
          <w:b/>
          <w:bCs/>
        </w:rPr>
        <w:t xml:space="preserve"> Jean-Marc, ROULT</w:t>
      </w:r>
      <w:r>
        <w:rPr>
          <w:b/>
          <w:bCs/>
        </w:rPr>
        <w:t>,</w:t>
      </w:r>
      <w:r w:rsidRPr="007112EB">
        <w:rPr>
          <w:b/>
          <w:bCs/>
        </w:rPr>
        <w:t xml:space="preserve"> Romain, WHITE</w:t>
      </w:r>
      <w:r>
        <w:rPr>
          <w:b/>
          <w:bCs/>
        </w:rPr>
        <w:t xml:space="preserve">, </w:t>
      </w:r>
      <w:r w:rsidRPr="007112EB">
        <w:rPr>
          <w:b/>
          <w:bCs/>
        </w:rPr>
        <w:t>Bob, AUGER Denis et QI ZHENG</w:t>
      </w:r>
      <w:r>
        <w:rPr>
          <w:b/>
          <w:bCs/>
        </w:rPr>
        <w:t xml:space="preserve">, </w:t>
      </w:r>
      <w:r w:rsidRPr="007112EB">
        <w:rPr>
          <w:b/>
          <w:bCs/>
        </w:rPr>
        <w:t>Dong. (</w:t>
      </w:r>
      <w:r>
        <w:rPr>
          <w:b/>
          <w:bCs/>
        </w:rPr>
        <w:t xml:space="preserve">2021) </w:t>
      </w:r>
      <w:r w:rsidRPr="007112EB">
        <w:rPr>
          <w:b/>
          <w:bCs/>
        </w:rPr>
        <w:t xml:space="preserve">Le loisir comme facteur d’intégration sociale pour les nouveaux arrivants : étude de cas centrée sur certains arrondissements de Montréal. (Enjeux et société </w:t>
      </w:r>
      <w:r>
        <w:rPr>
          <w:b/>
          <w:bCs/>
        </w:rPr>
        <w:t xml:space="preserve">- </w:t>
      </w:r>
      <w:r w:rsidRPr="007112EB">
        <w:rPr>
          <w:b/>
          <w:bCs/>
        </w:rPr>
        <w:t xml:space="preserve">Volume 8, numéro 1, hiver 2021, p. 220–248). </w:t>
      </w:r>
    </w:p>
    <w:p w14:paraId="5567C870" w14:textId="30BCAE4D" w:rsidR="007112EB" w:rsidRDefault="00993BA8" w:rsidP="00C61B73">
      <w:hyperlink r:id="rId9" w:history="1">
        <w:r w:rsidR="007112EB" w:rsidRPr="00C94AEF">
          <w:rPr>
            <w:rStyle w:val="Lienhypertexte"/>
          </w:rPr>
          <w:t>https://www.erudit.org/fr/revues/enjeux/2021-v8-n1-enjeux05972/1076542ar/</w:t>
        </w:r>
      </w:hyperlink>
      <w:r w:rsidR="007112EB">
        <w:t xml:space="preserve"> </w:t>
      </w:r>
      <w:r w:rsidR="007112EB" w:rsidRPr="007112EB">
        <w:t xml:space="preserve"> </w:t>
      </w:r>
    </w:p>
    <w:p w14:paraId="50892090" w14:textId="0F128AE9" w:rsidR="007112EB" w:rsidRDefault="007112EB" w:rsidP="00C61B73">
      <w:r>
        <w:t xml:space="preserve">(Extrait) </w:t>
      </w:r>
      <w:r w:rsidRPr="007112EB">
        <w:t>Cette recherche exploratoire vise à analyser la relation entre le loisir et l’intégration sociale des nouveaux arrivants dans un contexte interculturel. Cette recherche qualitative est fondée sur la conduite de 13 entrevues auprès de professionnels du loisir de sept arrondissements montréalais. L’analyse de ces entretiens permet entre autres de mettre en lumière les difficultés de communication auxquelles font face les professionnels en loisir lorsqu’ils travaillent avec ce type de population, le besoin de partenariats afin de mieux cerner les besoins des nouveaux arrivants, l’importance du bénévolat comme facteur d’intégration et de développement de la confiance en soi, ainsi que la participation du loisir dans la compréhension des référents et codes sociaux de la société d’accueil.</w:t>
      </w:r>
    </w:p>
    <w:p w14:paraId="5A64CBB1" w14:textId="77777777" w:rsidR="000A0C65" w:rsidRDefault="000A0C65" w:rsidP="00C61B73"/>
    <w:p w14:paraId="4F493497" w14:textId="4857B8FC" w:rsidR="000A0C65" w:rsidRPr="00E365E7" w:rsidRDefault="005D24E8" w:rsidP="000A0C65">
      <w:pPr>
        <w:pStyle w:val="Numroderfrence"/>
      </w:pPr>
      <w:r>
        <w:t xml:space="preserve">Mots-clés : </w:t>
      </w:r>
      <w:r w:rsidR="006F623B">
        <w:t xml:space="preserve">apprentissage estival </w:t>
      </w:r>
      <w:r w:rsidR="00734EC4">
        <w:t>–</w:t>
      </w:r>
      <w:r w:rsidR="006F623B">
        <w:t xml:space="preserve"> </w:t>
      </w:r>
      <w:r w:rsidR="00734EC4">
        <w:t>précurseurs développementaux – statut socioéconomique</w:t>
      </w:r>
    </w:p>
    <w:p w14:paraId="65CF17B3" w14:textId="77777777" w:rsidR="000A0C65" w:rsidRDefault="000A0C65" w:rsidP="000A0C65">
      <w:pPr>
        <w:rPr>
          <w:b/>
          <w:bCs/>
        </w:rPr>
      </w:pPr>
      <w:r w:rsidRPr="000A0C65">
        <w:rPr>
          <w:b/>
          <w:bCs/>
          <w:lang w:val="de-DE"/>
        </w:rPr>
        <w:t xml:space="preserve">Alexander, K. L., </w:t>
      </w:r>
      <w:proofErr w:type="spellStart"/>
      <w:r w:rsidRPr="000A0C65">
        <w:rPr>
          <w:b/>
          <w:bCs/>
          <w:lang w:val="de-DE"/>
        </w:rPr>
        <w:t>Entwisle</w:t>
      </w:r>
      <w:proofErr w:type="spellEnd"/>
      <w:r w:rsidRPr="000A0C65">
        <w:rPr>
          <w:b/>
          <w:bCs/>
          <w:lang w:val="de-DE"/>
        </w:rPr>
        <w:t xml:space="preserve">, D. R., &amp; Olson, L. S. (2007). </w:t>
      </w:r>
      <w:r w:rsidRPr="000A0C65">
        <w:rPr>
          <w:b/>
          <w:bCs/>
          <w:lang w:val="en-CA"/>
        </w:rPr>
        <w:t xml:space="preserve">Lasting consequences of the summer learning gap. </w:t>
      </w:r>
      <w:r w:rsidRPr="000A0C65">
        <w:rPr>
          <w:b/>
          <w:bCs/>
        </w:rPr>
        <w:t xml:space="preserve">American </w:t>
      </w:r>
      <w:proofErr w:type="spellStart"/>
      <w:r w:rsidRPr="000A0C65">
        <w:rPr>
          <w:b/>
          <w:bCs/>
        </w:rPr>
        <w:t>Sociological</w:t>
      </w:r>
      <w:proofErr w:type="spellEnd"/>
      <w:r w:rsidRPr="000A0C65">
        <w:rPr>
          <w:b/>
          <w:bCs/>
        </w:rPr>
        <w:t xml:space="preserve"> </w:t>
      </w:r>
      <w:proofErr w:type="spellStart"/>
      <w:r w:rsidRPr="000A0C65">
        <w:rPr>
          <w:b/>
          <w:bCs/>
        </w:rPr>
        <w:t>Review</w:t>
      </w:r>
      <w:proofErr w:type="spellEnd"/>
      <w:r w:rsidRPr="000A0C65">
        <w:rPr>
          <w:b/>
          <w:bCs/>
        </w:rPr>
        <w:t xml:space="preserve">, 72(2), 167–180. </w:t>
      </w:r>
    </w:p>
    <w:p w14:paraId="040E6B8E" w14:textId="5BD11411" w:rsidR="000A0C65" w:rsidRDefault="00993BA8" w:rsidP="000A0C65">
      <w:pPr>
        <w:rPr>
          <w:b/>
          <w:bCs/>
        </w:rPr>
      </w:pPr>
      <w:hyperlink r:id="rId10" w:history="1">
        <w:r w:rsidR="000A0C65" w:rsidRPr="004B5DC0">
          <w:rPr>
            <w:rStyle w:val="Lienhypertexte"/>
          </w:rPr>
          <w:t>https://doi.org/10.1177/00031</w:t>
        </w:r>
        <w:r w:rsidR="000A0C65" w:rsidRPr="004B5DC0">
          <w:rPr>
            <w:rStyle w:val="Lienhypertexte"/>
          </w:rPr>
          <w:t>2</w:t>
        </w:r>
        <w:r w:rsidR="000A0C65" w:rsidRPr="004B5DC0">
          <w:rPr>
            <w:rStyle w:val="Lienhypertexte"/>
          </w:rPr>
          <w:t>240707200202</w:t>
        </w:r>
      </w:hyperlink>
    </w:p>
    <w:p w14:paraId="5A70613A" w14:textId="77777777" w:rsidR="00A253F0" w:rsidRDefault="000A0C65" w:rsidP="00A253F0">
      <w:r>
        <w:t>(</w:t>
      </w:r>
      <w:r w:rsidR="001F7457">
        <w:t>Résumé – Traduction libre</w:t>
      </w:r>
      <w:r>
        <w:t xml:space="preserve">) </w:t>
      </w:r>
      <w:r w:rsidR="00A253F0">
        <w:t xml:space="preserve">Des recherches antérieures ont démontré que l'apprentissage estival ancré dans les influences de la famille et de la communauté creuse l'écart de réussite entre les groupes sociaux, alors que la scolarisation compense ces influences familiales et communautaires. Dans cet article, nous examinons les conséquences éducatives à long terme des différences d'apprentissage estival en fonction du niveau socio-économique de la famille. En utilisant les données du panel de jeunes de la Baltimore </w:t>
      </w:r>
      <w:proofErr w:type="spellStart"/>
      <w:r w:rsidR="00A253F0">
        <w:t>Beginning</w:t>
      </w:r>
      <w:proofErr w:type="spellEnd"/>
      <w:r w:rsidR="00A253F0">
        <w:t xml:space="preserve"> </w:t>
      </w:r>
      <w:proofErr w:type="spellStart"/>
      <w:r w:rsidR="00A253F0">
        <w:t>School</w:t>
      </w:r>
      <w:proofErr w:type="spellEnd"/>
      <w:r w:rsidR="00A253F0">
        <w:t xml:space="preserve"> </w:t>
      </w:r>
      <w:proofErr w:type="spellStart"/>
      <w:r w:rsidR="00A253F0">
        <w:t>Study</w:t>
      </w:r>
      <w:proofErr w:type="spellEnd"/>
      <w:r w:rsidR="00A253F0">
        <w:t>, nous décomposons les scores de réussite au début de l'école secondaire en leurs précurseurs développementaux, en remontant jusqu'au moment de l'entrée à l'école en première année. Nous constatons que les gains cumulés en termes de résultats au cours des neuf premières années de la scolarité des enfants reflètent principalement l'apprentissage au cours de l'année scolaire, tandis que l'écart de résultats entre les enfants de statut socioéconomique élevé et faible au cours de la neuvième année est principalement dû à l'apprentissage estival différentiel au cours des années élémentaires. Ces différences d'apprentissage précoce en dehors de l'école pendant l'été, à leur tour, expliquent en grande partie les différences liées à la réussite selon le SSE de la famille en ce qui concerne le placement dans les filières de l'école secondaire (préparatoire à l'université ou non), l'abandon de l'école secondaire et la fréquentation de l'université pendant quatre ans. Nous discutons des implications pour la compréhension des bases de la stratification de l'éducation, ainsi que pour la politique et la pratique de l'éducation.</w:t>
      </w:r>
    </w:p>
    <w:p w14:paraId="3982747D" w14:textId="77777777" w:rsidR="005D3724" w:rsidRDefault="005D3724" w:rsidP="00C61B73"/>
    <w:p w14:paraId="5B27E528" w14:textId="77777777" w:rsidR="000445DC" w:rsidRDefault="000445DC" w:rsidP="00C61B73"/>
    <w:p w14:paraId="73C76806" w14:textId="461DAB1C" w:rsidR="00AF0F68" w:rsidRPr="00E365E7" w:rsidRDefault="00A426F8" w:rsidP="00232697">
      <w:pPr>
        <w:pStyle w:val="Numroderfrence"/>
      </w:pPr>
      <w:r>
        <w:lastRenderedPageBreak/>
        <w:t>Glissade de l’été – Faible revenu</w:t>
      </w:r>
      <w:r w:rsidR="002317F1">
        <w:t xml:space="preserve"> – Rentabilité des programmes - Décideurs</w:t>
      </w:r>
    </w:p>
    <w:p w14:paraId="3AF6648E" w14:textId="77777777" w:rsidR="0061022B" w:rsidRPr="00181FC0" w:rsidRDefault="00C8117C" w:rsidP="00C8117C">
      <w:pPr>
        <w:rPr>
          <w:b/>
          <w:bCs/>
          <w:lang w:val="en-CA"/>
        </w:rPr>
      </w:pPr>
      <w:r w:rsidRPr="00223919">
        <w:rPr>
          <w:b/>
          <w:bCs/>
        </w:rPr>
        <w:t xml:space="preserve">ALEXANDER, K., PITCOCK, S. ET BOULAY, M. C. (2016). </w:t>
      </w:r>
      <w:r w:rsidRPr="00223919">
        <w:rPr>
          <w:b/>
          <w:bCs/>
          <w:lang w:val="en-CA"/>
        </w:rPr>
        <w:t xml:space="preserve">The summer slide: What we know and can do about summer learning loss. </w:t>
      </w:r>
      <w:r w:rsidRPr="00181FC0">
        <w:rPr>
          <w:b/>
          <w:bCs/>
          <w:lang w:val="en-CA"/>
        </w:rPr>
        <w:t xml:space="preserve">Teachers College Press.  </w:t>
      </w:r>
    </w:p>
    <w:p w14:paraId="60EEDB2B" w14:textId="2B583B51" w:rsidR="0061022B" w:rsidRPr="00181FC0" w:rsidRDefault="00993BA8" w:rsidP="00C8117C">
      <w:pPr>
        <w:rPr>
          <w:lang w:val="en-CA"/>
        </w:rPr>
      </w:pPr>
      <w:hyperlink r:id="rId11" w:history="1">
        <w:r w:rsidR="0061022B" w:rsidRPr="00181FC0">
          <w:rPr>
            <w:rStyle w:val="Lienhypertexte"/>
            <w:lang w:val="en-CA"/>
          </w:rPr>
          <w:t>https://www.amazon.com/Summer-Slide-What-About-Learning/dp/0807757993</w:t>
        </w:r>
      </w:hyperlink>
      <w:r w:rsidR="0061022B" w:rsidRPr="00181FC0">
        <w:rPr>
          <w:lang w:val="en-CA"/>
        </w:rPr>
        <w:t xml:space="preserve"> </w:t>
      </w:r>
    </w:p>
    <w:p w14:paraId="5CDB1E71" w14:textId="244C7C6E" w:rsidR="00460515" w:rsidRDefault="00460515" w:rsidP="00460515">
      <w:r>
        <w:t>(</w:t>
      </w:r>
      <w:r w:rsidR="000445DC">
        <w:t>Résumé – Traduction libre</w:t>
      </w:r>
      <w:r>
        <w:t>) Ce livre fait autorité en matière de perte d'apprentissage estival, avec des contributions originales d'universitaires et de praticiens à l'avant-garde du mouvement visant à comprendre - et à endiguer - la "glissade d’été". Les auteurs fournissent un compte-rendu actualisé de ce que la recherche a à dire sur la perte d'apprentissage estivale, les conditions dans les foyers et les communautés des enfants à faible revenu qui entravent l'apprentissage pendant les mois d'été, et les meilleures pratiques dans les programmes d'été avec des leçons sur la façon de renforcer les évaluations de programmes. Ils montrent également comment les informations sur les coûts des programmes peuvent être combinées avec les données sur les résultats des élèves afin d'éclairer la planification future et d'établir la rentabilité des programmes. Cet ouvrage aidera les décideurs politiques, les administrateurs scolaires et les enseignants dans leurs efforts pour combler les écarts de réussite scolaire et améliorer les résultats de tous les élèves.</w:t>
      </w:r>
    </w:p>
    <w:p w14:paraId="6F8256C4" w14:textId="7CC2378E" w:rsidR="00460515" w:rsidRDefault="00460515" w:rsidP="00460515">
      <w:r>
        <w:t>Caractéristiques du livre :</w:t>
      </w:r>
    </w:p>
    <w:p w14:paraId="76478B7F" w14:textId="77777777" w:rsidR="00460515" w:rsidRDefault="00460515" w:rsidP="00460515">
      <w:pPr>
        <w:pStyle w:val="Paragraphedeliste"/>
        <w:numPr>
          <w:ilvl w:val="0"/>
          <w:numId w:val="2"/>
        </w:numPr>
      </w:pPr>
      <w:r>
        <w:t>Des recherches empiriques sur la perte d'apprentissage pendant l'été et sur les efforts déployés pour la contrer.</w:t>
      </w:r>
    </w:p>
    <w:p w14:paraId="31BF6F5D" w14:textId="77777777" w:rsidR="00460515" w:rsidRDefault="00460515" w:rsidP="00460515">
      <w:pPr>
        <w:pStyle w:val="Paragraphedeliste"/>
        <w:numPr>
          <w:ilvl w:val="0"/>
          <w:numId w:val="2"/>
        </w:numPr>
      </w:pPr>
      <w:r>
        <w:t>Des contributions originales d'éminents spécialistes.</w:t>
      </w:r>
    </w:p>
    <w:p w14:paraId="18200FBD" w14:textId="77777777" w:rsidR="00460515" w:rsidRDefault="00460515" w:rsidP="00460515">
      <w:pPr>
        <w:pStyle w:val="Paragraphedeliste"/>
        <w:numPr>
          <w:ilvl w:val="0"/>
          <w:numId w:val="2"/>
        </w:numPr>
      </w:pPr>
      <w:r>
        <w:t>Des conseils pratiques sur les meilleures pratiques pour la mise en œuvre et l'évaluation de programmes d'été solides.</w:t>
      </w:r>
    </w:p>
    <w:p w14:paraId="21088E0B" w14:textId="77777777" w:rsidR="00460515" w:rsidRDefault="00460515" w:rsidP="00460515">
      <w:pPr>
        <w:pStyle w:val="Paragraphedeliste"/>
        <w:numPr>
          <w:ilvl w:val="0"/>
          <w:numId w:val="2"/>
        </w:numPr>
      </w:pPr>
      <w:r>
        <w:t>Des recommandations pour une utilisation plus efficace des évaluations de programmes afin d'éclairer les politiques.</w:t>
      </w:r>
    </w:p>
    <w:p w14:paraId="2656529D" w14:textId="77777777" w:rsidR="007670F1" w:rsidRDefault="007670F1" w:rsidP="007670F1"/>
    <w:p w14:paraId="298E015E" w14:textId="2C5DEAB1" w:rsidR="00AF0F68" w:rsidRPr="00E365E7" w:rsidRDefault="002317F1" w:rsidP="00232697">
      <w:pPr>
        <w:pStyle w:val="Numroderfrence"/>
      </w:pPr>
      <w:r>
        <w:t xml:space="preserve">Glissade de l’été </w:t>
      </w:r>
      <w:r w:rsidR="00481C47">
        <w:t>–</w:t>
      </w:r>
      <w:r>
        <w:t xml:space="preserve"> </w:t>
      </w:r>
      <w:r w:rsidR="00481C47">
        <w:t xml:space="preserve">Étude complète </w:t>
      </w:r>
      <w:r w:rsidR="004566BA">
        <w:t>–</w:t>
      </w:r>
      <w:r w:rsidR="00481C47">
        <w:t xml:space="preserve"> </w:t>
      </w:r>
      <w:r w:rsidR="004566BA">
        <w:t>Facteurs fondamentaux</w:t>
      </w:r>
    </w:p>
    <w:p w14:paraId="31BA5890" w14:textId="43A8C8C6" w:rsidR="008545C3" w:rsidRPr="00DA71D0" w:rsidRDefault="008545C3" w:rsidP="00460515">
      <w:pPr>
        <w:rPr>
          <w:b/>
          <w:bCs/>
        </w:rPr>
      </w:pPr>
      <w:r w:rsidRPr="00223919">
        <w:rPr>
          <w:b/>
          <w:bCs/>
          <w:lang w:val="en-CA"/>
        </w:rPr>
        <w:t xml:space="preserve">ATTEBERRY, Allison, MCEACHIN, Andrew. (2019). School's Out: The Role of Summers in Understanding Achievement Disparities. </w:t>
      </w:r>
      <w:r w:rsidRPr="00DA71D0">
        <w:rPr>
          <w:b/>
          <w:bCs/>
        </w:rPr>
        <w:t>(</w:t>
      </w:r>
      <w:proofErr w:type="spellStart"/>
      <w:r w:rsidRPr="00DA71D0">
        <w:rPr>
          <w:b/>
          <w:bCs/>
        </w:rPr>
        <w:t>EdWorkingPaper</w:t>
      </w:r>
      <w:proofErr w:type="spellEnd"/>
      <w:r w:rsidRPr="00DA71D0">
        <w:rPr>
          <w:b/>
          <w:bCs/>
        </w:rPr>
        <w:t xml:space="preserve">: 19-82). </w:t>
      </w:r>
    </w:p>
    <w:p w14:paraId="509CBE2C" w14:textId="3FE4C3A4" w:rsidR="008545C3" w:rsidRPr="00DA71D0" w:rsidRDefault="00993BA8" w:rsidP="00460515">
      <w:hyperlink r:id="rId12" w:history="1">
        <w:r w:rsidR="008545C3" w:rsidRPr="00DA71D0">
          <w:rPr>
            <w:rStyle w:val="Lienhypertexte"/>
          </w:rPr>
          <w:t>https://edworkingpapers.com/sites/default/files/SchoolsOut_AtteberryMcEachin_2020_0520.pdf</w:t>
        </w:r>
      </w:hyperlink>
      <w:r w:rsidR="008545C3" w:rsidRPr="00DA71D0">
        <w:t xml:space="preserve"> </w:t>
      </w:r>
    </w:p>
    <w:p w14:paraId="59EA7D4B" w14:textId="060811E3" w:rsidR="008545C3" w:rsidRDefault="008545C3" w:rsidP="00460515">
      <w:r>
        <w:t>(</w:t>
      </w:r>
      <w:r w:rsidR="002317F1">
        <w:t>Résumé – Traduction libre</w:t>
      </w:r>
      <w:r>
        <w:t xml:space="preserve">) </w:t>
      </w:r>
      <w:r w:rsidRPr="008545C3">
        <w:t>Le</w:t>
      </w:r>
      <w:r w:rsidR="007F5681">
        <w:t>s gens travaillant dans le</w:t>
      </w:r>
      <w:r w:rsidRPr="008545C3">
        <w:t xml:space="preserve"> domaine </w:t>
      </w:r>
      <w:r w:rsidR="007F5681">
        <w:t>sont</w:t>
      </w:r>
      <w:r w:rsidRPr="008545C3">
        <w:t xml:space="preserve"> généralement </w:t>
      </w:r>
      <w:r w:rsidR="002317F1" w:rsidRPr="008545C3">
        <w:t>conscients</w:t>
      </w:r>
      <w:r w:rsidRPr="008545C3">
        <w:t xml:space="preserve"> de la perte d'apprentissage estivale / </w:t>
      </w:r>
      <w:r>
        <w:t>glissade de l’été</w:t>
      </w:r>
      <w:r w:rsidRPr="008545C3">
        <w:t xml:space="preserve">, c'est-à-dire du fait que l'apprentissage des étudiants ralentit pendant l'été. Pourtant, il est surprenant de constater qu'il n'existe pas de consensus sur les questions fondamentales concernant </w:t>
      </w:r>
      <w:r>
        <w:t>la glissade de l’été</w:t>
      </w:r>
      <w:r w:rsidRPr="008545C3">
        <w:t xml:space="preserve">, notamment en raison des préoccupations récentes concernant les artefacts de mesure dans les études fondamentales sur </w:t>
      </w:r>
      <w:r w:rsidR="005F2FB4">
        <w:t>la glissade de l’été</w:t>
      </w:r>
      <w:r w:rsidRPr="008545C3">
        <w:t xml:space="preserve">. Presque tous les travaux antérieurs sur </w:t>
      </w:r>
      <w:r w:rsidR="005F2FB4">
        <w:t>la glissade de l’été</w:t>
      </w:r>
      <w:r w:rsidRPr="008545C3">
        <w:t xml:space="preserve"> examinent comment les étés contribuent aux écarts raciaux/ethniques ou socio-économiques. Cependant, ces facteurs n'expliquent qu'environ 4 % de la variance des taux d'apprentissage en été. Nous utilisons un ensemble de données unique comprenant des millions d'élèves répartis sur huit années d'études pour documenter l'étendue complète d</w:t>
      </w:r>
      <w:r w:rsidR="007F5681">
        <w:t>e la</w:t>
      </w:r>
      <w:r w:rsidRPr="008545C3">
        <w:t xml:space="preserve"> </w:t>
      </w:r>
      <w:r w:rsidR="007F5681">
        <w:t>glissade de l’été.</w:t>
      </w:r>
    </w:p>
    <w:p w14:paraId="4C402DBF" w14:textId="77777777" w:rsidR="00E365E7" w:rsidRDefault="00E365E7" w:rsidP="00460515"/>
    <w:p w14:paraId="114FDA11" w14:textId="77777777" w:rsidR="004566BA" w:rsidRDefault="004566BA" w:rsidP="00460515"/>
    <w:p w14:paraId="6315B7B4" w14:textId="77777777" w:rsidR="004566BA" w:rsidRPr="008545C3" w:rsidRDefault="004566BA" w:rsidP="00460515"/>
    <w:p w14:paraId="6E266967" w14:textId="6A5D2BF3" w:rsidR="00EA293F" w:rsidRDefault="004566BA" w:rsidP="00232697">
      <w:pPr>
        <w:pStyle w:val="Numroderfrence"/>
      </w:pPr>
      <w:r>
        <w:lastRenderedPageBreak/>
        <w:t>Littératie – Recul des apprentissages</w:t>
      </w:r>
      <w:r w:rsidR="006F66E2">
        <w:t xml:space="preserve"> – Activités de lectures – Camp de jour – Lecture à un animal</w:t>
      </w:r>
    </w:p>
    <w:p w14:paraId="552B466A" w14:textId="77777777" w:rsidR="00223919" w:rsidRPr="00223919" w:rsidRDefault="00D95A8C" w:rsidP="00D95A8C">
      <w:pPr>
        <w:rPr>
          <w:b/>
          <w:bCs/>
        </w:rPr>
      </w:pPr>
      <w:r w:rsidRPr="00223919">
        <w:rPr>
          <w:b/>
          <w:bCs/>
        </w:rPr>
        <w:t xml:space="preserve">CHAPLEAU, N., LAUZON, F. &amp; MORISSETTE, J. (2021). L’été, c’est fait pour lire ! Nouveaux cahiers de la recherche en éducation, 23(3), 118–138. </w:t>
      </w:r>
    </w:p>
    <w:p w14:paraId="0AAD98BF" w14:textId="67CDA5B6" w:rsidR="00D95A8C" w:rsidRPr="00550DED" w:rsidRDefault="00993BA8" w:rsidP="00D95A8C">
      <w:hyperlink r:id="rId13" w:history="1">
        <w:r w:rsidR="00223919" w:rsidRPr="0010149A">
          <w:rPr>
            <w:rStyle w:val="Lienhypertexte"/>
          </w:rPr>
          <w:t>https://doi.org/10.7202/1092718ar</w:t>
        </w:r>
      </w:hyperlink>
    </w:p>
    <w:p w14:paraId="2C723D46" w14:textId="6BE8B771" w:rsidR="007670F1" w:rsidRDefault="00A36D4F" w:rsidP="007670F1">
      <w:r>
        <w:t xml:space="preserve">(Extrait) </w:t>
      </w:r>
      <w:r w:rsidR="00D95A8C" w:rsidRPr="00550DED">
        <w:t xml:space="preserve">Durant la période estivale, l’arrêt d’un enseignement en littératie entraîne un recul des apprentissages. Ainsi, cette étude vise à analyser les effets de différents contextes sur les acquis en lecture durant cette période. Les résultats démontrent que les élèves, ayant effectué des activités de lecture dans un contexte de camp de jour, ont maintenu leurs acquis alors que ceux ayant lu à un animal dans un contexte de refuge animalier ont connu des améliorations sur le plan de la précision et de la fluidité en lecture; tandis que la vitesse de lecture des élèves du groupe contrôle a diminué. </w:t>
      </w:r>
      <w:r w:rsidR="00DF2283">
        <w:t>Con</w:t>
      </w:r>
      <w:r w:rsidR="00D95A8C" w:rsidRPr="00550DED">
        <w:t>séquemment, les activités de lecture dans un contexte structuré (camp de jour) et semi-structuré (refuge animalier) ont démontré que lire durant les vacances estivales favorisait le maintien des apprentissages par les élèves.</w:t>
      </w:r>
    </w:p>
    <w:p w14:paraId="0FCFDCF9" w14:textId="77777777" w:rsidR="007670F1" w:rsidRDefault="007670F1" w:rsidP="007670F1"/>
    <w:p w14:paraId="35A5769B" w14:textId="795A102D" w:rsidR="00232697" w:rsidRPr="00232697" w:rsidRDefault="00637E83" w:rsidP="00232697">
      <w:pPr>
        <w:pStyle w:val="Numroderfrence"/>
      </w:pPr>
      <w:r>
        <w:t>Camp de jour – Image de soi – Environnement – Inclusion sociale</w:t>
      </w:r>
    </w:p>
    <w:p w14:paraId="1F78D828" w14:textId="7109407B" w:rsidR="00232697" w:rsidRPr="00232697" w:rsidRDefault="00232697" w:rsidP="00232697">
      <w:pPr>
        <w:rPr>
          <w:b/>
          <w:bCs/>
          <w:lang w:val="en-CA"/>
        </w:rPr>
      </w:pPr>
      <w:r w:rsidRPr="00232697">
        <w:rPr>
          <w:b/>
          <w:bCs/>
          <w:lang w:val="en-CA"/>
        </w:rPr>
        <w:t>COUSINEAU</w:t>
      </w:r>
      <w:r>
        <w:rPr>
          <w:b/>
          <w:bCs/>
          <w:lang w:val="en-CA"/>
        </w:rPr>
        <w:t xml:space="preserve">, </w:t>
      </w:r>
      <w:r w:rsidRPr="00232697">
        <w:rPr>
          <w:b/>
          <w:bCs/>
          <w:lang w:val="nl-NL"/>
        </w:rPr>
        <w:t>Luc S.</w:t>
      </w:r>
      <w:r>
        <w:rPr>
          <w:b/>
          <w:bCs/>
          <w:lang w:val="nl-NL"/>
        </w:rPr>
        <w:t>,</w:t>
      </w:r>
      <w:r w:rsidRPr="00232697">
        <w:rPr>
          <w:b/>
          <w:bCs/>
          <w:lang w:val="nl-NL"/>
        </w:rPr>
        <w:t xml:space="preserve"> MOCK</w:t>
      </w:r>
      <w:r>
        <w:rPr>
          <w:b/>
          <w:bCs/>
          <w:lang w:val="nl-NL"/>
        </w:rPr>
        <w:t xml:space="preserve">, </w:t>
      </w:r>
      <w:r w:rsidRPr="00232697">
        <w:rPr>
          <w:b/>
          <w:bCs/>
          <w:lang w:val="nl-NL"/>
        </w:rPr>
        <w:t>Steven E.</w:t>
      </w:r>
      <w:r>
        <w:rPr>
          <w:b/>
          <w:bCs/>
          <w:lang w:val="nl-NL"/>
        </w:rPr>
        <w:t xml:space="preserve">, </w:t>
      </w:r>
      <w:r w:rsidRPr="00232697">
        <w:rPr>
          <w:b/>
          <w:bCs/>
          <w:lang w:val="nl-NL"/>
        </w:rPr>
        <w:t>GLOVER</w:t>
      </w:r>
      <w:r>
        <w:rPr>
          <w:b/>
          <w:bCs/>
          <w:lang w:val="nl-NL"/>
        </w:rPr>
        <w:t>,</w:t>
      </w:r>
      <w:r w:rsidRPr="00232697">
        <w:rPr>
          <w:b/>
          <w:bCs/>
          <w:lang w:val="nl-NL"/>
        </w:rPr>
        <w:t xml:space="preserve"> Troy D. (2018). </w:t>
      </w:r>
      <w:r w:rsidRPr="00232697">
        <w:rPr>
          <w:b/>
          <w:bCs/>
          <w:lang w:val="en-CA"/>
        </w:rPr>
        <w:t>Camper Self-Concept Promotes</w:t>
      </w:r>
      <w:r>
        <w:rPr>
          <w:b/>
          <w:bCs/>
          <w:lang w:val="en-CA"/>
        </w:rPr>
        <w:t xml:space="preserve"> </w:t>
      </w:r>
      <w:r w:rsidRPr="00232697">
        <w:rPr>
          <w:b/>
          <w:bCs/>
          <w:lang w:val="en-CA"/>
        </w:rPr>
        <w:t>Environmental Awareness:</w:t>
      </w:r>
      <w:r>
        <w:rPr>
          <w:b/>
          <w:bCs/>
          <w:lang w:val="en-CA"/>
        </w:rPr>
        <w:t xml:space="preserve"> </w:t>
      </w:r>
      <w:r w:rsidRPr="00232697">
        <w:rPr>
          <w:b/>
          <w:bCs/>
          <w:lang w:val="en-CA"/>
        </w:rPr>
        <w:t>A Relationship Mediated by Social Inclusion</w:t>
      </w:r>
      <w:r>
        <w:rPr>
          <w:b/>
          <w:bCs/>
          <w:lang w:val="en-CA"/>
        </w:rPr>
        <w:t>, Journal of Youth Development, 17 p.</w:t>
      </w:r>
    </w:p>
    <w:p w14:paraId="5731F669" w14:textId="7CD0F745" w:rsidR="00232697" w:rsidRPr="00232697" w:rsidRDefault="00993BA8" w:rsidP="00232697">
      <w:pPr>
        <w:rPr>
          <w:lang w:val="en-CA"/>
        </w:rPr>
      </w:pPr>
      <w:hyperlink r:id="rId14" w:history="1">
        <w:r w:rsidR="00232697" w:rsidRPr="004B5DC0">
          <w:rPr>
            <w:rStyle w:val="Lienhypertexte"/>
            <w:lang w:val="en-CA"/>
          </w:rPr>
          <w:t>https://jyd.pitt.edu/ojs/jyd/article/view/181301FA08</w:t>
        </w:r>
      </w:hyperlink>
      <w:r w:rsidR="00232697">
        <w:rPr>
          <w:lang w:val="en-CA"/>
        </w:rPr>
        <w:t xml:space="preserve"> </w:t>
      </w:r>
    </w:p>
    <w:p w14:paraId="31620A96" w14:textId="3A0C9C10" w:rsidR="007670F1" w:rsidRDefault="00232697" w:rsidP="005D3724">
      <w:r>
        <w:t>(Résumé – traduction libre) Les camps d'été au Canada fournissent des services à des centaines de milliers de jeunes chaque année, leur offrant des opportunités de croissance et de développement. Cependant, les camps d'été au Canada restent peu étudiés. À partir d'une phase des données du Projet de recherche sur les camps d'été canadiens (PRCS), une analyse a été menée sur l'effet de l'image de soi des campeurs sur leur sensibilisation à l'environnement, médiatisée par le niveau perçu d'inclusion sociale. Il existe une relation entre le concept de soi des campeurs et la conscience environnementale, et cette relation est renforcée lorsque les campeurs sont socialement inclus. Ces résultats montrent des liens préliminaires entre le concept de soi et la sensibilisation à l'environnement dans les camps d'été et ouvrent la voie à des recherches plus approfondies sur les effets personnels et à long terme de la participation à un camp sur les points de vue environnementaux, l'intégration dans un groupe social et le concept de soi.</w:t>
      </w:r>
      <w:r w:rsidR="007670F1">
        <w:br w:type="page"/>
      </w:r>
    </w:p>
    <w:p w14:paraId="193CFAC1" w14:textId="61A5299B" w:rsidR="00EF2B70" w:rsidRPr="00232697" w:rsidRDefault="00E820E3" w:rsidP="00EF2B70">
      <w:pPr>
        <w:pStyle w:val="Numroderfrence"/>
      </w:pPr>
      <w:r>
        <w:lastRenderedPageBreak/>
        <w:t xml:space="preserve">Littératie – Interventions scolaires </w:t>
      </w:r>
      <w:r w:rsidR="002E1040">
        <w:t>–</w:t>
      </w:r>
      <w:r>
        <w:t xml:space="preserve"> </w:t>
      </w:r>
      <w:r w:rsidR="002E1040">
        <w:t>Écarts – Primaire – Parents non francophones</w:t>
      </w:r>
    </w:p>
    <w:p w14:paraId="110AA7D5" w14:textId="77777777" w:rsidR="00EF2B70" w:rsidRDefault="00EF2B70" w:rsidP="00EF2B70">
      <w:pPr>
        <w:rPr>
          <w:b/>
          <w:bCs/>
        </w:rPr>
      </w:pPr>
      <w:r w:rsidRPr="00EF2B70">
        <w:rPr>
          <w:b/>
          <w:bCs/>
        </w:rPr>
        <w:t>DAVIES, Scott, AURINI, Janice, MILNE, Emily, JEA</w:t>
      </w:r>
      <w:r>
        <w:rPr>
          <w:b/>
          <w:bCs/>
        </w:rPr>
        <w:t>N-PIERRE, Johanne</w:t>
      </w:r>
      <w:r w:rsidRPr="00EF2B70">
        <w:rPr>
          <w:b/>
          <w:bCs/>
        </w:rPr>
        <w:t xml:space="preserve"> (</w:t>
      </w:r>
      <w:r>
        <w:rPr>
          <w:b/>
          <w:bCs/>
        </w:rPr>
        <w:t>2015</w:t>
      </w:r>
      <w:r w:rsidRPr="00EF2B70">
        <w:rPr>
          <w:b/>
          <w:bCs/>
        </w:rPr>
        <w:t>). Les effets des programmes d’été de</w:t>
      </w:r>
      <w:r>
        <w:rPr>
          <w:b/>
          <w:bCs/>
        </w:rPr>
        <w:t xml:space="preserve"> l</w:t>
      </w:r>
      <w:r w:rsidRPr="00EF2B70">
        <w:rPr>
          <w:b/>
          <w:bCs/>
        </w:rPr>
        <w:t xml:space="preserve">ittératie: </w:t>
      </w:r>
      <w:r>
        <w:rPr>
          <w:b/>
          <w:bCs/>
        </w:rPr>
        <w:t>l</w:t>
      </w:r>
      <w:r w:rsidRPr="00EF2B70">
        <w:rPr>
          <w:b/>
          <w:bCs/>
        </w:rPr>
        <w:t xml:space="preserve">es théories sur </w:t>
      </w:r>
      <w:r>
        <w:rPr>
          <w:b/>
          <w:bCs/>
        </w:rPr>
        <w:t>l</w:t>
      </w:r>
      <w:r w:rsidRPr="00EF2B70">
        <w:rPr>
          <w:b/>
          <w:bCs/>
        </w:rPr>
        <w:t xml:space="preserve">es opportunités d’apprentissage et </w:t>
      </w:r>
      <w:r>
        <w:rPr>
          <w:b/>
          <w:bCs/>
        </w:rPr>
        <w:t>l</w:t>
      </w:r>
      <w:r w:rsidRPr="00EF2B70">
        <w:rPr>
          <w:b/>
          <w:bCs/>
        </w:rPr>
        <w:t>es é</w:t>
      </w:r>
      <w:r>
        <w:rPr>
          <w:b/>
          <w:bCs/>
        </w:rPr>
        <w:t>l</w:t>
      </w:r>
      <w:r w:rsidRPr="00EF2B70">
        <w:rPr>
          <w:b/>
          <w:bCs/>
        </w:rPr>
        <w:t>èves</w:t>
      </w:r>
      <w:r>
        <w:rPr>
          <w:b/>
          <w:bCs/>
        </w:rPr>
        <w:t xml:space="preserve"> </w:t>
      </w:r>
      <w:r w:rsidRPr="00EF2B70">
        <w:rPr>
          <w:b/>
          <w:bCs/>
        </w:rPr>
        <w:t>« non traditionne</w:t>
      </w:r>
      <w:r>
        <w:rPr>
          <w:b/>
          <w:bCs/>
        </w:rPr>
        <w:t>l</w:t>
      </w:r>
      <w:r w:rsidRPr="00EF2B70">
        <w:rPr>
          <w:b/>
          <w:bCs/>
        </w:rPr>
        <w:t xml:space="preserve">s » dans </w:t>
      </w:r>
      <w:r>
        <w:rPr>
          <w:b/>
          <w:bCs/>
        </w:rPr>
        <w:t>l</w:t>
      </w:r>
      <w:r w:rsidRPr="00EF2B70">
        <w:rPr>
          <w:b/>
          <w:bCs/>
        </w:rPr>
        <w:t>es éco</w:t>
      </w:r>
      <w:r>
        <w:rPr>
          <w:b/>
          <w:bCs/>
        </w:rPr>
        <w:t>l</w:t>
      </w:r>
      <w:r w:rsidRPr="00EF2B70">
        <w:rPr>
          <w:b/>
          <w:bCs/>
        </w:rPr>
        <w:t>es</w:t>
      </w:r>
      <w:r>
        <w:rPr>
          <w:b/>
          <w:bCs/>
        </w:rPr>
        <w:t xml:space="preserve"> </w:t>
      </w:r>
      <w:r w:rsidRPr="00EF2B70">
        <w:rPr>
          <w:b/>
          <w:bCs/>
        </w:rPr>
        <w:t xml:space="preserve">de </w:t>
      </w:r>
      <w:r>
        <w:rPr>
          <w:b/>
          <w:bCs/>
        </w:rPr>
        <w:t>l</w:t>
      </w:r>
      <w:r w:rsidRPr="00EF2B70">
        <w:rPr>
          <w:b/>
          <w:bCs/>
        </w:rPr>
        <w:t xml:space="preserve">angue française en </w:t>
      </w:r>
      <w:r>
        <w:rPr>
          <w:b/>
          <w:bCs/>
        </w:rPr>
        <w:t>O</w:t>
      </w:r>
      <w:r w:rsidRPr="00EF2B70">
        <w:rPr>
          <w:b/>
          <w:bCs/>
        </w:rPr>
        <w:t xml:space="preserve">ntario, © Canadian Journal of </w:t>
      </w:r>
      <w:proofErr w:type="spellStart"/>
      <w:r w:rsidRPr="00EF2B70">
        <w:rPr>
          <w:b/>
          <w:bCs/>
        </w:rPr>
        <w:t>So</w:t>
      </w:r>
      <w:r>
        <w:rPr>
          <w:b/>
          <w:bCs/>
        </w:rPr>
        <w:t>c</w:t>
      </w:r>
      <w:r w:rsidRPr="00EF2B70">
        <w:rPr>
          <w:b/>
          <w:bCs/>
        </w:rPr>
        <w:t>iology</w:t>
      </w:r>
      <w:proofErr w:type="spellEnd"/>
      <w:r w:rsidRPr="00EF2B70">
        <w:rPr>
          <w:b/>
          <w:bCs/>
        </w:rPr>
        <w:t>/Cahier</w:t>
      </w:r>
      <w:r>
        <w:rPr>
          <w:b/>
          <w:bCs/>
        </w:rPr>
        <w:t>s</w:t>
      </w:r>
      <w:r w:rsidRPr="00EF2B70">
        <w:rPr>
          <w:b/>
          <w:bCs/>
        </w:rPr>
        <w:t xml:space="preserve"> Canadien</w:t>
      </w:r>
      <w:r>
        <w:rPr>
          <w:b/>
          <w:bCs/>
        </w:rPr>
        <w:t>s</w:t>
      </w:r>
      <w:r w:rsidRPr="00EF2B70">
        <w:rPr>
          <w:b/>
          <w:bCs/>
        </w:rPr>
        <w:t xml:space="preserve"> de So</w:t>
      </w:r>
      <w:r>
        <w:rPr>
          <w:b/>
          <w:bCs/>
        </w:rPr>
        <w:t>c</w:t>
      </w:r>
      <w:r w:rsidRPr="00EF2B70">
        <w:rPr>
          <w:b/>
          <w:bCs/>
        </w:rPr>
        <w:t>iologie 40(2)</w:t>
      </w:r>
      <w:r>
        <w:rPr>
          <w:b/>
          <w:bCs/>
        </w:rPr>
        <w:t>, p. 189-222.</w:t>
      </w:r>
    </w:p>
    <w:p w14:paraId="2C627701" w14:textId="245A3280" w:rsidR="00CC221C" w:rsidRDefault="00993BA8" w:rsidP="00EF2B70">
      <w:hyperlink r:id="rId15" w:history="1">
        <w:r w:rsidR="00CC221C" w:rsidRPr="004B5DC0">
          <w:rPr>
            <w:rStyle w:val="Lienhypertexte"/>
          </w:rPr>
          <w:t>https://www.researchgate.net/publication/315335638</w:t>
        </w:r>
      </w:hyperlink>
      <w:r w:rsidR="00CC221C">
        <w:t xml:space="preserve"> </w:t>
      </w:r>
    </w:p>
    <w:p w14:paraId="7EAB48F6" w14:textId="6ABD5997" w:rsidR="00C66A90" w:rsidRDefault="00EF2B70" w:rsidP="007670F1">
      <w:r>
        <w:t xml:space="preserve">(Résumé) </w:t>
      </w:r>
      <w:r w:rsidR="00CC221C">
        <w:t>Selon des études américaines et réalisées au Canada anglais, les écarts au chapitre du rendement scolaire se creusent durant la période des vacances estivales lorsque les élèves ne fréquentent pas l’école. Néanmoins, les interventions scolaires en littératie peuvent réduire ces écarts. Le présent article présente les résultats d’une étude quasi-expérimentale, effectuée dans huit conseils scolaires de district de langue française en Ontario, auprès de 682 élèves de la première à la troisième année en 2010, 2011 et 2012. Nous avons comparé la progression des résultats des tests en lecture de 361 participants aux programmes d’apprentissage pendant l’été à ceux des 321 élèves du groupe témoin entre juin et septembre. Les participants au programme d’apprentissage pendant l’été avaient au départ des résultats en lecture et résultats scolaires plus faibles, et provenaient majoritairement de milieux socio-économiques défavorisés. Néanmoins, les programmes d’apprentissage pendant l’été ont réduit les écarts préexistants entre les deux groupes. Ces résultats représentent un effet considérable dans le contexte de l’éducation au niveau primaire et des études sur les programmes d’apprentissage pendant l’été. Les effets sont plus importants pour les élèves dont les parents ne parlent pas exclusivement le français à la maison. Notre article applique la théorie sur les opportunités d’apprentissage au contexte des élèves dits « non traditionnels » dans les écoles de langue française en Ontario.</w:t>
      </w:r>
    </w:p>
    <w:p w14:paraId="0C1B05B9" w14:textId="77777777" w:rsidR="00C66A90" w:rsidRPr="008545C3" w:rsidRDefault="00C66A90" w:rsidP="00C66A90"/>
    <w:p w14:paraId="03B74388" w14:textId="7CEB0D54" w:rsidR="00C66A90" w:rsidRPr="00232697" w:rsidRDefault="002F10B1" w:rsidP="00C66A90">
      <w:pPr>
        <w:pStyle w:val="Numroderfrence"/>
      </w:pPr>
      <w:r>
        <w:t>A</w:t>
      </w:r>
      <w:r w:rsidRPr="002F10B1">
        <w:t xml:space="preserve">ptitudes cognitives, attentionnelles et socio-émotionnelles </w:t>
      </w:r>
      <w:r>
        <w:t>– Lecture - Mathématique</w:t>
      </w:r>
    </w:p>
    <w:p w14:paraId="043722C5" w14:textId="77777777" w:rsidR="00C66A90" w:rsidRPr="00181FC0" w:rsidRDefault="00C66A90" w:rsidP="00C66A90">
      <w:pPr>
        <w:rPr>
          <w:b/>
          <w:bCs/>
        </w:rPr>
      </w:pPr>
      <w:r w:rsidRPr="00546F12">
        <w:rPr>
          <w:b/>
          <w:bCs/>
          <w:lang w:val="en-CA"/>
        </w:rPr>
        <w:t xml:space="preserve">DUNCAN, G.J., C.J. DOWSETT, A. CLAESSENS, K. MAGNUSON, A.C. HUSTON, P. KLEBANOV et C. JAPEL. </w:t>
      </w:r>
      <w:r w:rsidRPr="00C66A90">
        <w:rPr>
          <w:b/>
          <w:bCs/>
          <w:lang w:val="en-CA"/>
        </w:rPr>
        <w:t xml:space="preserve">School readiness and later achievement. </w:t>
      </w:r>
      <w:r w:rsidRPr="00181FC0">
        <w:rPr>
          <w:b/>
          <w:bCs/>
        </w:rPr>
        <w:t>Developmental Psychology, vol. 43, n°6, 2007, p. 1428-1446.</w:t>
      </w:r>
    </w:p>
    <w:p w14:paraId="50C76500" w14:textId="20361399" w:rsidR="00C66A90" w:rsidRPr="00181FC0" w:rsidRDefault="00993BA8" w:rsidP="00C66A90">
      <w:hyperlink r:id="rId16" w:history="1">
        <w:r w:rsidR="00C66A90" w:rsidRPr="00181FC0">
          <w:rPr>
            <w:rStyle w:val="Lienhypertexte"/>
          </w:rPr>
          <w:t>https://www.researchgate.net/publication/5825913_School_Readiness_and_Later_Achievement</w:t>
        </w:r>
      </w:hyperlink>
      <w:r w:rsidR="00C66A90" w:rsidRPr="00181FC0">
        <w:t xml:space="preserve"> </w:t>
      </w:r>
    </w:p>
    <w:p w14:paraId="3209D92D" w14:textId="1A2F02F9" w:rsidR="00EF2B70" w:rsidRDefault="00C66A90" w:rsidP="00A40575">
      <w:r>
        <w:t xml:space="preserve">(Résumé – Traduction libre) </w:t>
      </w:r>
      <w:r w:rsidR="00A40575" w:rsidRPr="00A40575">
        <w:t>À l'aide de six ensembles de données longitudinales, nous estimons les liens entre trois éléments clés de la préparation à l'école - les compétences scolaires, attentionnelles et socio-émotionnelles à l'entrée à l'école - et les résultats scolaires ultérieurs en lecture et en mathématiques. Afin d'isoler les effets de ces aptitudes à l'entrée à l'école, la plupart de nos modèles de régression contrôlent les aptitudes cognitives, attentionnelles et socio-émotionnelles mesurées avant l'entrée à l'école, ainsi qu'une série de mesures du contexte familial. Dans les six études, les prédicteurs les plus forts des résultats ultérieurs sont les compétences en mathématiques, en lecture et en attention acquises à l'entrée à l'école. Une méta-analyse des résultats montre que les compétences mathématiques précoces ont le plus grand pouvoir prédictif, suivies des compétences en lecture, puis de l'attention. En revanche, les mesures des comportements socio-émotionnels, y compris les problèmes d'intériorisation et d'extériorisation et les aptitudes sociales, n'étaient généralement pas des prédicteurs significatifs des résultats scolaires ultérieurs, même chez les enfants présentant des niveaux relativement élevés de comportement problématique.  Les modèles d'association étaient similaires pour les garçons et les filles et pour les enfants issus de milieux socio-économiques élevés ou faibles.</w:t>
      </w:r>
    </w:p>
    <w:p w14:paraId="0751E4A3" w14:textId="77777777" w:rsidR="00E365E7" w:rsidRDefault="00E365E7" w:rsidP="00D95A8C"/>
    <w:p w14:paraId="08368908" w14:textId="4D6FD8D3" w:rsidR="00AF0F68" w:rsidRPr="00232697" w:rsidRDefault="00B632EE" w:rsidP="00232697">
      <w:pPr>
        <w:pStyle w:val="Numroderfrence"/>
      </w:pPr>
      <w:r>
        <w:t>Enseignant(e)s – Lecture – Écriture - Pandémie</w:t>
      </w:r>
    </w:p>
    <w:p w14:paraId="3FBB0A80" w14:textId="77777777" w:rsidR="00DA71D0" w:rsidRDefault="00EA293F" w:rsidP="00EA293F">
      <w:r w:rsidRPr="00223919">
        <w:rPr>
          <w:b/>
          <w:bCs/>
        </w:rPr>
        <w:t>GIGUÈRE, M.H. ET PRÉVOST, N. (2021). Le point de vue des enseignantes et des enseignants du primaire sur la compétence à lire et à écrire de leurs élèves en contexte pandémique depuis septembre 2020. Équipe de recherche ADEL (Apprenants en difficulté et littératie), département d’éducation et formation spécialisée, Université du Québec à Montréal.</w:t>
      </w:r>
      <w:r w:rsidRPr="00C8117C">
        <w:t xml:space="preserve"> </w:t>
      </w:r>
    </w:p>
    <w:p w14:paraId="1C567EA0" w14:textId="7326B9C0" w:rsidR="00EA293F" w:rsidRDefault="00993BA8" w:rsidP="00EA293F">
      <w:hyperlink r:id="rId17" w:history="1">
        <w:r w:rsidR="00DA71D0" w:rsidRPr="00B702FB">
          <w:rPr>
            <w:rStyle w:val="Lienhypertexte"/>
          </w:rPr>
          <w:t>https://www.researchgate.net/publication/349766799</w:t>
        </w:r>
      </w:hyperlink>
    </w:p>
    <w:p w14:paraId="1CCE2B29" w14:textId="7D5293D3" w:rsidR="00460515" w:rsidRDefault="00A36D4F" w:rsidP="007A750A">
      <w:r>
        <w:t xml:space="preserve">(Extrait) </w:t>
      </w:r>
      <w:r w:rsidR="00D940D4">
        <w:t>Les données des 175 enseignantes et enseignants travaillant dans les écoles primaires du Québec ayant participé à cette enquête apportent un certain éclairage sur le contexte scolaire de la rentrée 2020. Alors qu’on cherche à interpréter les résultats inscrits dans le premier bulletin scolaire paru en février 2021, il s’avère aussi essentiel d’obtenir le point de vue des expertes et experts qui enseignent au quotidien. Rappelons d’ailleurs que plus de 75 % de l’échantillon avait plus de 11 années d’expérience en enseignement. Les enseignantes et enseignants rapportent que leurs élèves sont arrivés en classe en septembre 2020 avec des habiletés plus faibles que celles des élèves des années passées lors de la rentrée. De façon tout à fait logique, ils aident un plus grand nombre d’élèves, passent plus de temps à enseigner à lire et à écrire que d’habitude, puis s’inquiètent davantage pour leur réussite en français.</w:t>
      </w:r>
    </w:p>
    <w:p w14:paraId="2BDCBB07" w14:textId="77777777" w:rsidR="00E365E7" w:rsidRPr="00460515" w:rsidRDefault="00E365E7" w:rsidP="00EA293F"/>
    <w:p w14:paraId="3BF85261" w14:textId="48090F55" w:rsidR="00AF0F68" w:rsidRPr="00806395" w:rsidRDefault="00874EF4" w:rsidP="00232697">
      <w:pPr>
        <w:pStyle w:val="Numroderfrence"/>
      </w:pPr>
      <w:r>
        <w:t>Glissade de l’été – Évolution individuelle</w:t>
      </w:r>
      <w:r w:rsidR="00B01422">
        <w:t xml:space="preserve"> </w:t>
      </w:r>
      <w:r w:rsidR="00D87102">
        <w:t>–</w:t>
      </w:r>
      <w:r w:rsidR="00B01422">
        <w:t xml:space="preserve"> Écarts</w:t>
      </w:r>
      <w:r w:rsidR="00D87102">
        <w:t xml:space="preserve"> – Connaissances déclaratives – Savoir-faire</w:t>
      </w:r>
    </w:p>
    <w:p w14:paraId="44422679" w14:textId="6698CD50" w:rsidR="00C07807" w:rsidRDefault="00C07807" w:rsidP="00C8117C">
      <w:r w:rsidRPr="00223919">
        <w:rPr>
          <w:b/>
          <w:bCs/>
        </w:rPr>
        <w:t>JAROUSSE, Jean-Pierre, LEROY</w:t>
      </w:r>
      <w:r w:rsidR="003B0C37" w:rsidRPr="00223919">
        <w:rPr>
          <w:b/>
          <w:bCs/>
        </w:rPr>
        <w:t>-AUDOUIN</w:t>
      </w:r>
      <w:r w:rsidRPr="00223919">
        <w:rPr>
          <w:b/>
          <w:bCs/>
        </w:rPr>
        <w:t>,</w:t>
      </w:r>
      <w:r w:rsidR="003B0C37" w:rsidRPr="00223919">
        <w:rPr>
          <w:b/>
          <w:bCs/>
        </w:rPr>
        <w:t xml:space="preserve"> </w:t>
      </w:r>
      <w:r w:rsidRPr="00223919">
        <w:rPr>
          <w:b/>
          <w:bCs/>
        </w:rPr>
        <w:t>Christine</w:t>
      </w:r>
      <w:r w:rsidR="003B0C37" w:rsidRPr="00223919">
        <w:rPr>
          <w:b/>
          <w:bCs/>
        </w:rPr>
        <w:t xml:space="preserve"> (2001)</w:t>
      </w:r>
      <w:r w:rsidRPr="00223919">
        <w:rPr>
          <w:b/>
          <w:bCs/>
        </w:rPr>
        <w:t>. Les activités scolaires des élèves durant les congés d’été et</w:t>
      </w:r>
      <w:r w:rsidR="005F042A" w:rsidRPr="00223919">
        <w:rPr>
          <w:b/>
          <w:bCs/>
        </w:rPr>
        <w:t xml:space="preserve"> </w:t>
      </w:r>
      <w:r w:rsidRPr="00223919">
        <w:rPr>
          <w:b/>
          <w:bCs/>
        </w:rPr>
        <w:t>leurs conséquences sur le niveau des connaissances à la rentrée. IREDU,63,158p.,</w:t>
      </w:r>
      <w:r w:rsidR="003B0C37" w:rsidRPr="00223919">
        <w:rPr>
          <w:b/>
          <w:bCs/>
        </w:rPr>
        <w:t xml:space="preserve"> </w:t>
      </w:r>
      <w:r w:rsidRPr="00223919">
        <w:rPr>
          <w:b/>
          <w:bCs/>
        </w:rPr>
        <w:t>Les Cahiers</w:t>
      </w:r>
      <w:r w:rsidR="003B0C37" w:rsidRPr="00223919">
        <w:rPr>
          <w:b/>
          <w:bCs/>
        </w:rPr>
        <w:t xml:space="preserve"> </w:t>
      </w:r>
      <w:r w:rsidRPr="00223919">
        <w:rPr>
          <w:b/>
          <w:bCs/>
        </w:rPr>
        <w:t>de</w:t>
      </w:r>
      <w:r w:rsidR="003B0C37" w:rsidRPr="00223919">
        <w:rPr>
          <w:b/>
          <w:bCs/>
        </w:rPr>
        <w:t xml:space="preserve"> </w:t>
      </w:r>
      <w:r w:rsidRPr="00223919">
        <w:rPr>
          <w:b/>
          <w:bCs/>
        </w:rPr>
        <w:t>l’IREDU,</w:t>
      </w:r>
      <w:r w:rsidR="003B0C37" w:rsidRPr="00223919">
        <w:rPr>
          <w:b/>
          <w:bCs/>
        </w:rPr>
        <w:t xml:space="preserve"> </w:t>
      </w:r>
      <w:r w:rsidRPr="00223919">
        <w:rPr>
          <w:b/>
          <w:bCs/>
        </w:rPr>
        <w:t xml:space="preserve">2-85634-072-5. </w:t>
      </w:r>
      <w:r w:rsidR="005F042A" w:rsidRPr="00223919">
        <w:rPr>
          <w:b/>
          <w:bCs/>
        </w:rPr>
        <w:br/>
      </w:r>
      <w:hyperlink r:id="rId18" w:history="1">
        <w:r w:rsidR="005F042A" w:rsidRPr="0010149A">
          <w:rPr>
            <w:rStyle w:val="Lienhypertexte"/>
          </w:rPr>
          <w:t>https://hal.science/hal-02052129/document</w:t>
        </w:r>
      </w:hyperlink>
      <w:r w:rsidR="005F042A">
        <w:t xml:space="preserve"> </w:t>
      </w:r>
    </w:p>
    <w:p w14:paraId="3B7DB46F" w14:textId="2FA1A5CE" w:rsidR="007A750A" w:rsidRDefault="00656FB2" w:rsidP="007A750A">
      <w:r>
        <w:t>(Extrait de la conclusion) Cette recherche a d'abord permis de montrer</w:t>
      </w:r>
      <w:r w:rsidR="0059434F">
        <w:t xml:space="preserve"> </w:t>
      </w:r>
      <w:r>
        <w:t>que la faible évolution du niveau moyen des connaissances des élèves entre juin et septembre masque d'importantes évolutions au niveau individuel. Ces évolutions se structurent selon certaines caractéristiques des élèves, traditionnellement associées à la réussite scolaire : à niveau comparable en juin, les élèves ayant déjà redoublé, les enfants des familles dans lesquelles aucun des deux parents n'est cadre, les élèves appartenant à de larges fratries, maintiennent significativement moins que les autres leurs acquis, et en particulier, que les élèves à l'heure ou en avance et que les enfants de cadres. Les écarts qui se constituent au moment des congés d'été sont importants et, dans certains cas, très proches de ceux qui se sont créés tout au long de l'année scolaire précédente. Ces différents constats valent pour les trois disciplines considérées et s'accompagnent, sur la période, d'une dégradation plus marquée des connaissances déclaratives que des savoir-faire.</w:t>
      </w:r>
    </w:p>
    <w:p w14:paraId="2FB6CBB7" w14:textId="77777777" w:rsidR="00D87102" w:rsidRDefault="00D87102" w:rsidP="007A750A"/>
    <w:p w14:paraId="5171D8BF" w14:textId="77777777" w:rsidR="00D87102" w:rsidRDefault="00D87102" w:rsidP="007A750A"/>
    <w:p w14:paraId="4913A2F0" w14:textId="77777777" w:rsidR="00D87102" w:rsidRDefault="00D87102" w:rsidP="007A750A"/>
    <w:p w14:paraId="79DC45CE" w14:textId="77777777" w:rsidR="00D87102" w:rsidRDefault="00D87102" w:rsidP="007A750A"/>
    <w:p w14:paraId="425DBF96" w14:textId="77777777" w:rsidR="00D87102" w:rsidRDefault="00D87102" w:rsidP="007A750A"/>
    <w:p w14:paraId="40B99575" w14:textId="77777777" w:rsidR="00993BA8" w:rsidRDefault="00993BA8">
      <w:pPr>
        <w:spacing w:before="0" w:after="160" w:line="278" w:lineRule="auto"/>
        <w:rPr>
          <w:i/>
          <w:iCs/>
        </w:rPr>
      </w:pPr>
      <w:r>
        <w:br w:type="page"/>
      </w:r>
    </w:p>
    <w:p w14:paraId="25E13042" w14:textId="7D22F262" w:rsidR="007A750A" w:rsidRPr="00E365E7" w:rsidRDefault="00D87102" w:rsidP="007A750A">
      <w:pPr>
        <w:pStyle w:val="Numroderfrence"/>
      </w:pPr>
      <w:r>
        <w:lastRenderedPageBreak/>
        <w:t>Glissade de l’été – Recherches récentes</w:t>
      </w:r>
      <w:r w:rsidR="00372E5C">
        <w:t xml:space="preserve"> – Orthophonie – Questions sans réponse</w:t>
      </w:r>
    </w:p>
    <w:p w14:paraId="1DA2204B" w14:textId="77777777" w:rsidR="007A750A" w:rsidRPr="00223919" w:rsidRDefault="007A750A" w:rsidP="007A750A">
      <w:pPr>
        <w:rPr>
          <w:b/>
          <w:bCs/>
          <w:lang w:val="en-CA"/>
        </w:rPr>
      </w:pPr>
      <w:r w:rsidRPr="00223919">
        <w:rPr>
          <w:b/>
          <w:bCs/>
          <w:lang w:val="en-CA"/>
        </w:rPr>
        <w:t xml:space="preserve">KUHFELD, Megan (2021) Summer learning loss: What we know and what we’re learning, article du </w:t>
      </w:r>
      <w:proofErr w:type="spellStart"/>
      <w:r w:rsidRPr="00223919">
        <w:rPr>
          <w:b/>
          <w:bCs/>
          <w:lang w:val="en-CA"/>
        </w:rPr>
        <w:t>blogue</w:t>
      </w:r>
      <w:proofErr w:type="spellEnd"/>
      <w:r w:rsidRPr="00223919">
        <w:rPr>
          <w:b/>
          <w:bCs/>
          <w:lang w:val="en-CA"/>
        </w:rPr>
        <w:t xml:space="preserve"> Teach. Learn. Grow. The education </w:t>
      </w:r>
      <w:proofErr w:type="gramStart"/>
      <w:r w:rsidRPr="00223919">
        <w:rPr>
          <w:b/>
          <w:bCs/>
          <w:lang w:val="en-CA"/>
        </w:rPr>
        <w:t>blog</w:t>
      </w:r>
      <w:proofErr w:type="gramEnd"/>
      <w:r w:rsidRPr="00223919">
        <w:rPr>
          <w:b/>
          <w:bCs/>
          <w:lang w:val="en-CA"/>
        </w:rPr>
        <w:t>.</w:t>
      </w:r>
    </w:p>
    <w:p w14:paraId="6FBDA925" w14:textId="77777777" w:rsidR="007A750A" w:rsidRDefault="00993BA8" w:rsidP="007A750A">
      <w:pPr>
        <w:rPr>
          <w:lang w:val="en-CA"/>
        </w:rPr>
      </w:pPr>
      <w:hyperlink r:id="rId19" w:history="1">
        <w:r w:rsidR="007A750A" w:rsidRPr="0010149A">
          <w:rPr>
            <w:rStyle w:val="Lienhypertexte"/>
            <w:lang w:val="en-CA"/>
          </w:rPr>
          <w:t>https://www.nwea.org/blog/2021/summer-learning-loss-what-we-know-what-were-learning/</w:t>
        </w:r>
      </w:hyperlink>
      <w:r w:rsidR="007A750A">
        <w:rPr>
          <w:lang w:val="en-CA"/>
        </w:rPr>
        <w:t xml:space="preserve"> </w:t>
      </w:r>
    </w:p>
    <w:p w14:paraId="654A30B3" w14:textId="63FC8303" w:rsidR="00656FB2" w:rsidRDefault="007A750A" w:rsidP="007A750A">
      <w:r>
        <w:t>(Traduction libre) Ce</w:t>
      </w:r>
      <w:r w:rsidRPr="00460515">
        <w:t xml:space="preserve"> billet de blog</w:t>
      </w:r>
      <w:r>
        <w:t>ue veut vous</w:t>
      </w:r>
      <w:r w:rsidRPr="00460515">
        <w:t xml:space="preserve"> aider à comprendre ce que l'on sait sur la perte d'apprentissage pendant l'été en décrivant les recherches récentes, en expliquant comment elles sont liées à notre compréhension antérieure de la recherche sur l'orthophonie et en présentant les questions qui restent sans réponse sur l'apprentissage des élèves pendant l'été.</w:t>
      </w:r>
    </w:p>
    <w:p w14:paraId="4C9B9ABC" w14:textId="77777777" w:rsidR="00806395" w:rsidRDefault="00806395" w:rsidP="00656FB2"/>
    <w:p w14:paraId="530B43DE" w14:textId="57797CF2" w:rsidR="00806395" w:rsidRPr="00806395" w:rsidRDefault="00A045E5" w:rsidP="00232697">
      <w:pPr>
        <w:pStyle w:val="Numroderfrence"/>
      </w:pPr>
      <w:r>
        <w:t xml:space="preserve">Glissade de l’été – Soutien aux familles – Mathématiques </w:t>
      </w:r>
      <w:r w:rsidR="00CD27E0">
        <w:t>–</w:t>
      </w:r>
      <w:r>
        <w:t xml:space="preserve"> Lecture</w:t>
      </w:r>
      <w:r w:rsidR="00CD27E0">
        <w:t xml:space="preserve"> - Écarts</w:t>
      </w:r>
    </w:p>
    <w:p w14:paraId="181DDB40" w14:textId="5257E655" w:rsidR="00806395" w:rsidRPr="00546F12" w:rsidRDefault="00806395" w:rsidP="00806395">
      <w:r w:rsidRPr="00806395">
        <w:rPr>
          <w:b/>
          <w:bCs/>
          <w:lang w:val="en-CA"/>
        </w:rPr>
        <w:t xml:space="preserve">KUHFELD, Dr. Megan and TARASAWA, Dr. Beth (2020), The COVID-19 slide: What summer learning loss can tell us about the potential impact of school closures on student academic achievement, résumé de </w:t>
      </w:r>
      <w:proofErr w:type="spellStart"/>
      <w:r w:rsidRPr="00806395">
        <w:rPr>
          <w:b/>
          <w:bCs/>
          <w:lang w:val="en-CA"/>
        </w:rPr>
        <w:t>l’article</w:t>
      </w:r>
      <w:proofErr w:type="spellEnd"/>
      <w:r w:rsidRPr="00806395">
        <w:rPr>
          <w:b/>
          <w:bCs/>
          <w:lang w:val="en-CA"/>
        </w:rPr>
        <w:t>, 7 p.</w:t>
      </w:r>
      <w:r w:rsidRPr="00806395">
        <w:rPr>
          <w:b/>
          <w:bCs/>
          <w:lang w:val="en-CA"/>
        </w:rPr>
        <w:br/>
      </w:r>
      <w:hyperlink r:id="rId20" w:history="1">
        <w:r w:rsidRPr="00546F12">
          <w:rPr>
            <w:rStyle w:val="Lienhypertexte"/>
          </w:rPr>
          <w:t>https://www.nwea.org/research/publication/the-covid-19-slide-what-summer-learning-loss-can-tell-us-about-the-potential-impact-of-school-closures-on-student-academic-achievement/</w:t>
        </w:r>
      </w:hyperlink>
      <w:r w:rsidRPr="00546F12">
        <w:t xml:space="preserve"> </w:t>
      </w:r>
    </w:p>
    <w:p w14:paraId="09FC7B68" w14:textId="7B259B14" w:rsidR="00E365E7" w:rsidRDefault="00806395" w:rsidP="008C260B">
      <w:r>
        <w:t xml:space="preserve">(Extrait des recommandations – Traduction libre) </w:t>
      </w:r>
      <w:r w:rsidR="008C260B" w:rsidRPr="008C260B">
        <w:t>Les projections de cette étude et les leçons tirées de la recherche sur l'apprentissage saisonnier nous placent devant un impératif moral : pour aider les élèves à réussir sur le plan académique, nous devons fournir des ressources et un soutien aux familles pendant et après cette perturbation, en particulier en mathématiques, où l'on constate souvent les pertes les plus importantes pendant les étés et le temps passé en dehors de l'école. Cela ne veut pas dire que le soutien à la lecture n'est pas important : les recherches montrent régulièrement que les écarts de lecture en fonction du revenu peuvent se creuser pendant les étés. Veiller à ce que tous les élèves et toutes les familles aient accès à du matériel, de l'enseignement, de l'éducation et de la formation appropriés</w:t>
      </w:r>
      <w:r w:rsidR="008C260B">
        <w:t xml:space="preserve"> en </w:t>
      </w:r>
      <w:r w:rsidR="008C260B" w:rsidRPr="008C260B">
        <w:t xml:space="preserve">mathématiques et </w:t>
      </w:r>
      <w:r w:rsidR="008C260B">
        <w:t>en</w:t>
      </w:r>
      <w:r w:rsidR="008C260B" w:rsidRPr="008C260B">
        <w:t xml:space="preserve"> lecture pendant les fermetures est un moyen important d'empêcher les écarts de se creuser. </w:t>
      </w:r>
    </w:p>
    <w:p w14:paraId="6A537107" w14:textId="77777777" w:rsidR="008C260B" w:rsidRPr="00806395" w:rsidRDefault="008C260B" w:rsidP="008C260B"/>
    <w:p w14:paraId="1918604A" w14:textId="32B40E77" w:rsidR="00AF0F68" w:rsidRPr="00806395" w:rsidRDefault="00AD2515" w:rsidP="00232697">
      <w:pPr>
        <w:pStyle w:val="Numroderfrence"/>
      </w:pPr>
      <w:r>
        <w:t xml:space="preserve">Clubs de lecture – Bibliothèques publiques – </w:t>
      </w:r>
      <w:r w:rsidR="00EE033D">
        <w:t>Glissade de l’été</w:t>
      </w:r>
      <w:r>
        <w:t xml:space="preserve"> </w:t>
      </w:r>
      <w:r w:rsidR="00EE033D">
        <w:t>–</w:t>
      </w:r>
      <w:r>
        <w:t xml:space="preserve"> </w:t>
      </w:r>
      <w:r w:rsidR="00EE033D">
        <w:t>Activités ludiques</w:t>
      </w:r>
    </w:p>
    <w:p w14:paraId="0E140FF3" w14:textId="083FDF75" w:rsidR="00227F49" w:rsidRPr="00223919" w:rsidRDefault="00C62FA1" w:rsidP="00EA293F">
      <w:pPr>
        <w:rPr>
          <w:b/>
          <w:bCs/>
        </w:rPr>
      </w:pPr>
      <w:r w:rsidRPr="00223919">
        <w:rPr>
          <w:b/>
          <w:bCs/>
        </w:rPr>
        <w:t xml:space="preserve">LAGACÉ, Eve, TREMBLAY, Marie-Christine, (2021). </w:t>
      </w:r>
      <w:r w:rsidR="001807B3" w:rsidRPr="00223919">
        <w:rPr>
          <w:b/>
          <w:bCs/>
        </w:rPr>
        <w:t xml:space="preserve">La </w:t>
      </w:r>
      <w:r w:rsidRPr="00223919">
        <w:rPr>
          <w:b/>
          <w:bCs/>
        </w:rPr>
        <w:t xml:space="preserve">réussite éducative : au centre de la mission </w:t>
      </w:r>
      <w:r w:rsidR="003D5523" w:rsidRPr="00223919">
        <w:rPr>
          <w:b/>
          <w:bCs/>
        </w:rPr>
        <w:t>des bibliothèques</w:t>
      </w:r>
      <w:r w:rsidRPr="00223919">
        <w:rPr>
          <w:b/>
          <w:bCs/>
        </w:rPr>
        <w:t xml:space="preserve"> publiques québécoises. </w:t>
      </w:r>
      <w:r w:rsidR="00474230">
        <w:rPr>
          <w:b/>
          <w:bCs/>
        </w:rPr>
        <w:t>M</w:t>
      </w:r>
      <w:r w:rsidRPr="00223919">
        <w:rPr>
          <w:b/>
          <w:bCs/>
        </w:rPr>
        <w:t>émoire déposé à monsieur Jean-François Roberge</w:t>
      </w:r>
      <w:r w:rsidR="00474230">
        <w:rPr>
          <w:b/>
          <w:bCs/>
        </w:rPr>
        <w:t>,</w:t>
      </w:r>
      <w:r w:rsidRPr="00223919">
        <w:rPr>
          <w:b/>
          <w:bCs/>
        </w:rPr>
        <w:t xml:space="preserve"> ministre de l’Éducation</w:t>
      </w:r>
      <w:r w:rsidR="00474230">
        <w:rPr>
          <w:b/>
          <w:bCs/>
        </w:rPr>
        <w:t>,</w:t>
      </w:r>
      <w:r w:rsidRPr="00223919">
        <w:rPr>
          <w:b/>
          <w:bCs/>
        </w:rPr>
        <w:t xml:space="preserve"> dans le cadre du Rendez-vous pour la réussite </w:t>
      </w:r>
      <w:r w:rsidR="003D5523" w:rsidRPr="00223919">
        <w:rPr>
          <w:b/>
          <w:bCs/>
        </w:rPr>
        <w:t>éducative, 9</w:t>
      </w:r>
      <w:r w:rsidRPr="00223919">
        <w:rPr>
          <w:b/>
          <w:bCs/>
        </w:rPr>
        <w:t xml:space="preserve"> avril 2021. Association des bibliothèques publiques du Québec (ABPQ).</w:t>
      </w:r>
    </w:p>
    <w:p w14:paraId="09A56C4E" w14:textId="4E323C59" w:rsidR="00227F49" w:rsidRDefault="00993BA8" w:rsidP="00EA293F">
      <w:hyperlink r:id="rId21" w:history="1">
        <w:r w:rsidR="00C62FA1" w:rsidRPr="0010149A">
          <w:rPr>
            <w:rStyle w:val="Lienhypertexte"/>
          </w:rPr>
          <w:t>https://www.abpq.ca/pdf/Memoire_2021-04-09_ABPQ_Reussite-educative_MEES.pdf</w:t>
        </w:r>
      </w:hyperlink>
      <w:r w:rsidR="00C62FA1">
        <w:t xml:space="preserve"> </w:t>
      </w:r>
    </w:p>
    <w:p w14:paraId="1A0CE3A2" w14:textId="7293ED8E" w:rsidR="00DA471D" w:rsidRDefault="00DA471D" w:rsidP="00DA471D">
      <w:r>
        <w:t xml:space="preserve">(Extrait du document concernant la période </w:t>
      </w:r>
      <w:r w:rsidR="003D5523">
        <w:t>estivale) Dans</w:t>
      </w:r>
      <w:r>
        <w:t xml:space="preserve"> un autre ordre d’idées, nous ne pouvons passer sous silence l’immense impact positif des clubs de lecture d’été qu’offrent nos bibliothèques publiques, année après année. Chaque été, ce sont plus de 55 000 enfants qui participent à des clubs de lecture à leur bibliothèque publique, une façon ludique de maintenir les compétences de lecture durant l’été et d’ainsi éviter un recul estival des acquis, souvent appelé la « glissade de l’été. En 2006, Bibliothèque et Archives Canada publiait une Analyse documentaire de l’impact des clubs de lecture d’été dans laquelle on peut constater que les clubs de lecture d’été ont une incidence positive sur le rendement en lecture, la fréquence de lecture, le plaisir de lire, la confiance et l’estime de soi ainsi que sur l’utilisation des services des bibliothèques. Ces résultats confirment l’importance de maintenir la </w:t>
      </w:r>
      <w:r>
        <w:lastRenderedPageBreak/>
        <w:t xml:space="preserve">tenue de ces programmes et incitent même à les bonifier. Bien que les clubs de lecture s’adressent de manière traditionnelle aux enfants de niveau primaire, certaines initiatives, comme le club de lecture Chien de </w:t>
      </w:r>
      <w:proofErr w:type="spellStart"/>
      <w:r>
        <w:t>Lisard</w:t>
      </w:r>
      <w:proofErr w:type="spellEnd"/>
      <w:r>
        <w:t xml:space="preserve"> de la Bibliothèque de Québec, s’adressent aux 12 à 17 ans pour leur plus grand bonheur.</w:t>
      </w:r>
    </w:p>
    <w:p w14:paraId="1DC06AE8" w14:textId="77777777" w:rsidR="00E365E7" w:rsidRDefault="00E365E7" w:rsidP="00DA471D"/>
    <w:p w14:paraId="15F80CFA" w14:textId="14811476" w:rsidR="00AF0F68" w:rsidRPr="00E365E7" w:rsidRDefault="00143F91" w:rsidP="00232697">
      <w:pPr>
        <w:pStyle w:val="Numroderfrence"/>
      </w:pPr>
      <w:r>
        <w:t>Littératie</w:t>
      </w:r>
    </w:p>
    <w:p w14:paraId="378AA4E7" w14:textId="4479B2B7" w:rsidR="00D95A8C" w:rsidRPr="009A779C" w:rsidRDefault="00D95A8C" w:rsidP="00D95A8C">
      <w:r w:rsidRPr="00223919">
        <w:rPr>
          <w:b/>
          <w:bCs/>
        </w:rPr>
        <w:t>LANGLOIS, Pierre (2023), Estimation d’un indice de littératie par MRC, Fondation pour l’</w:t>
      </w:r>
      <w:r w:rsidR="007A77E6" w:rsidRPr="00223919">
        <w:rPr>
          <w:b/>
          <w:bCs/>
        </w:rPr>
        <w:t>alphabétisation</w:t>
      </w:r>
      <w:r w:rsidRPr="00223919">
        <w:rPr>
          <w:b/>
          <w:bCs/>
        </w:rPr>
        <w:t xml:space="preserve">, 17 p. </w:t>
      </w:r>
      <w:r w:rsidRPr="00223919">
        <w:rPr>
          <w:b/>
          <w:bCs/>
        </w:rPr>
        <w:br/>
      </w:r>
      <w:hyperlink r:id="rId22" w:history="1">
        <w:r w:rsidRPr="0010149A">
          <w:rPr>
            <w:rStyle w:val="Lienhypertexte"/>
          </w:rPr>
          <w:t>https://www.cairn.info/revue-francaise-de-sociologie-1-2006-1-page-49.htm</w:t>
        </w:r>
      </w:hyperlink>
    </w:p>
    <w:p w14:paraId="63FDF897" w14:textId="77777777" w:rsidR="007A750A" w:rsidRDefault="004754FE" w:rsidP="007A750A">
      <w:r>
        <w:t>(</w:t>
      </w:r>
      <w:r w:rsidR="00D95A8C" w:rsidRPr="00A4464F">
        <w:t>Ré</w:t>
      </w:r>
      <w:r w:rsidR="00D95A8C">
        <w:t>sumé</w:t>
      </w:r>
      <w:r>
        <w:t xml:space="preserve">) </w:t>
      </w:r>
      <w:r w:rsidR="00D95A8C">
        <w:t>Depuis 2018, la Fondation pour l’alphabétisation étudie les facteurs explicatifs liés aux résultats québécois au Programme pour l’évaluation internationale des compétences des adultes (PEICA), une initiative de l’Organisation de coopération et de développement économiques (OCDE). Le PEICA fut administré à 24 pays en 2011, dont le Canada et l’ensemble de ses provinces.</w:t>
      </w:r>
    </w:p>
    <w:p w14:paraId="2136AB46" w14:textId="77777777" w:rsidR="007A750A" w:rsidRDefault="007A750A" w:rsidP="007A750A"/>
    <w:p w14:paraId="49555DEB" w14:textId="7AC34DEF" w:rsidR="007A750A" w:rsidRPr="00E365E7" w:rsidRDefault="00A90CD7" w:rsidP="007A750A">
      <w:pPr>
        <w:pStyle w:val="Numroderfrence"/>
      </w:pPr>
      <w:r>
        <w:t>Musique – Littératie – Préscolaire-primaire</w:t>
      </w:r>
    </w:p>
    <w:p w14:paraId="103BA10D" w14:textId="6013CA94" w:rsidR="007A750A" w:rsidRPr="007A750A" w:rsidRDefault="007A750A" w:rsidP="007A750A">
      <w:r w:rsidRPr="007A750A">
        <w:rPr>
          <w:b/>
          <w:bCs/>
        </w:rPr>
        <w:t xml:space="preserve">Lessard, A. (2021). Les approches intégratives « musique-littératie » au cœur de la formation initiale pour soutenir l’enseignement de la littératie au préscolaire et au primaire. Revue internationale de communication et socialisation, 8(2), 162-178. </w:t>
      </w:r>
      <w:hyperlink r:id="rId23" w:history="1">
        <w:r w:rsidRPr="004B5DC0">
          <w:rPr>
            <w:rStyle w:val="Lienhypertexte"/>
          </w:rPr>
          <w:t>https://doi.org/10.6084/m9.figshare.16599383.v1</w:t>
        </w:r>
      </w:hyperlink>
      <w:r>
        <w:t xml:space="preserve"> </w:t>
      </w:r>
    </w:p>
    <w:p w14:paraId="5906CE66" w14:textId="66FE54E1" w:rsidR="00D95A8C" w:rsidRDefault="007A750A" w:rsidP="00781450">
      <w:r>
        <w:t>(Résumé) Les approches intégratives « musique-littératie » constituent une avenue pertinente à exploiter au préscolaire primaire pour répondre aux besoins diversifiés des élèves. Toutefois, la place minime qu’occupe la musique au cœur de la formation initiale pour l’enseignement de la littératie compromet leur déploiement. Dans ce contexte, deux recherches menées par une professeure-chercheuse auprès d’élèves et d’enseignantes du</w:t>
      </w:r>
      <w:r w:rsidR="00A90CD7">
        <w:t xml:space="preserve"> </w:t>
      </w:r>
      <w:r>
        <w:t>préscolaire-primaire ont servi de catalyseur pour formuler deux nouvelles intentions pédagogiques, soit : 1) sensibiliser à l’importance de la musique dans le développement des habiletés de littératie ; 2) outiller les étudiant(e)s pour intégrer la musique à l’enseignement de la littératie. Pour la première, les moyens mis en place seront expliqués. Pour la seconde, les solutions envisagées (ex. : accéder à une formation musicale de qualité) seront présentées en parallèle avec les défis qu’elles soulèvent. En conclusion, les retombées de ces réflexions seront présentées, comme la création d’un nouveau descriptif de cours.</w:t>
      </w:r>
    </w:p>
    <w:p w14:paraId="1A982420" w14:textId="77777777" w:rsidR="00E365E7" w:rsidRDefault="00E365E7" w:rsidP="004754FE"/>
    <w:p w14:paraId="788B7E3D" w14:textId="2B974E3C" w:rsidR="007670F1" w:rsidRDefault="007670F1">
      <w:pPr>
        <w:spacing w:before="0" w:after="160" w:line="278" w:lineRule="auto"/>
        <w:rPr>
          <w:i/>
          <w:iCs/>
        </w:rPr>
      </w:pPr>
      <w:r>
        <w:br w:type="page"/>
      </w:r>
    </w:p>
    <w:p w14:paraId="66A1162E" w14:textId="6053167C" w:rsidR="00DA471D" w:rsidRDefault="00D64420" w:rsidP="00232697">
      <w:pPr>
        <w:pStyle w:val="Numroderfrence"/>
      </w:pPr>
      <w:r>
        <w:lastRenderedPageBreak/>
        <w:t>Origine sociale – Compréhension de l’écrit</w:t>
      </w:r>
      <w:r w:rsidR="002425F3">
        <w:t xml:space="preserve"> – Profession du père - Europe</w:t>
      </w:r>
    </w:p>
    <w:p w14:paraId="41CCC4C0" w14:textId="77777777" w:rsidR="00D95A8C" w:rsidRPr="00223919" w:rsidRDefault="00D95A8C" w:rsidP="00D95A8C">
      <w:pPr>
        <w:rPr>
          <w:b/>
          <w:bCs/>
          <w:lang w:val="pt-BR"/>
        </w:rPr>
      </w:pPr>
      <w:r w:rsidRPr="00223919">
        <w:rPr>
          <w:b/>
          <w:bCs/>
        </w:rPr>
        <w:t xml:space="preserve">MEURET Denis, MORLAIX Sophie, (2006) « L'influence de l'origine sociale sur les performances scolaires : par où passe-t-elle ? », Revue française de sociologie, 2006/1 (Vol. 47), p. 49-79. </w:t>
      </w:r>
      <w:r w:rsidRPr="00223919">
        <w:rPr>
          <w:b/>
          <w:bCs/>
          <w:lang w:val="pt-BR"/>
        </w:rPr>
        <w:t xml:space="preserve">DOI : 10.3917/rfs.471.0049. URL : </w:t>
      </w:r>
      <w:hyperlink r:id="rId24" w:history="1">
        <w:r w:rsidRPr="00223919">
          <w:rPr>
            <w:rStyle w:val="Lienhypertexte"/>
            <w:b/>
            <w:bCs/>
            <w:lang w:val="pt-BR"/>
          </w:rPr>
          <w:t>https://www.cairn.info/revue-francaise-de-sociologie-1-2006-1-page-49.htm</w:t>
        </w:r>
      </w:hyperlink>
    </w:p>
    <w:p w14:paraId="3728729E" w14:textId="790214E9" w:rsidR="00D95A8C" w:rsidRDefault="004754FE" w:rsidP="004754FE">
      <w:r>
        <w:t>(</w:t>
      </w:r>
      <w:r w:rsidR="00D95A8C" w:rsidRPr="00A4464F">
        <w:t>Ré</w:t>
      </w:r>
      <w:r w:rsidR="00D95A8C">
        <w:t>sumé</w:t>
      </w:r>
      <w:r>
        <w:t xml:space="preserve">) </w:t>
      </w:r>
      <w:r w:rsidR="00D95A8C" w:rsidRPr="005F4DAA">
        <w:t>Ce travail propose, à partir des données de PISA 2000, une comparaison internationale</w:t>
      </w:r>
      <w:r w:rsidR="00D95A8C">
        <w:t xml:space="preserve"> </w:t>
      </w:r>
      <w:r w:rsidR="00D95A8C" w:rsidRPr="005F4DAA">
        <w:t xml:space="preserve">de la façon dont l’influence de l’origine sociale s’exerce sur les performances </w:t>
      </w:r>
      <w:r w:rsidR="00D64420" w:rsidRPr="005F4DAA">
        <w:t xml:space="preserve">en </w:t>
      </w:r>
      <w:r w:rsidR="00D64420">
        <w:t>compréhension</w:t>
      </w:r>
      <w:r w:rsidR="00D95A8C" w:rsidRPr="005F4DAA">
        <w:t xml:space="preserve"> de l’écrit à travers diverses variables, certaines externes au système scolaire, d’autres internes. Une variable a un effet d’autant plus fort qu’elle est fortement associée à la</w:t>
      </w:r>
      <w:r w:rsidR="00D95A8C">
        <w:t xml:space="preserve"> </w:t>
      </w:r>
      <w:r w:rsidR="00D95A8C" w:rsidRPr="005F4DAA">
        <w:t xml:space="preserve">profession du père et qu’elle favorise fortement les performances. D’un point de vue méthodologique, les analyses menées utilisent une </w:t>
      </w:r>
      <w:proofErr w:type="spellStart"/>
      <w:r w:rsidR="00D95A8C" w:rsidRPr="005F4DAA">
        <w:t>path</w:t>
      </w:r>
      <w:proofErr w:type="spellEnd"/>
      <w:r w:rsidR="00D95A8C" w:rsidRPr="005F4DAA">
        <w:t xml:space="preserve"> </w:t>
      </w:r>
      <w:proofErr w:type="spellStart"/>
      <w:r w:rsidR="00D95A8C" w:rsidRPr="005F4DAA">
        <w:t>analysis</w:t>
      </w:r>
      <w:proofErr w:type="spellEnd"/>
      <w:r w:rsidR="00D95A8C" w:rsidRPr="005F4DAA">
        <w:t>, qui permet de distinguer ces</w:t>
      </w:r>
      <w:r w:rsidR="00D95A8C">
        <w:t xml:space="preserve"> </w:t>
      </w:r>
      <w:r w:rsidR="00D95A8C" w:rsidRPr="005F4DAA">
        <w:t>deux aspects. La situation française est présentée, puis comparée, à celle de douze autres</w:t>
      </w:r>
      <w:r w:rsidR="00D95A8C">
        <w:t xml:space="preserve"> </w:t>
      </w:r>
      <w:r w:rsidR="00D95A8C" w:rsidRPr="005F4DAA">
        <w:t>pays européens. Dans tous les pays, l’action de l’origine sociale s’exerce par les variables</w:t>
      </w:r>
      <w:r w:rsidR="00D95A8C">
        <w:t xml:space="preserve"> </w:t>
      </w:r>
      <w:r w:rsidR="00D95A8C" w:rsidRPr="005F4DAA">
        <w:t>externes bien davantage que par les variables internes au système éducatif : selon nos</w:t>
      </w:r>
      <w:r w:rsidR="00D95A8C">
        <w:t xml:space="preserve"> </w:t>
      </w:r>
      <w:r w:rsidR="00D95A8C" w:rsidRPr="005F4DAA">
        <w:t>données, la qualité de l’enseignement varie peu selon l’origine sociale des élèves. De cette</w:t>
      </w:r>
      <w:r w:rsidR="00D95A8C">
        <w:t xml:space="preserve"> </w:t>
      </w:r>
      <w:r w:rsidR="00D95A8C" w:rsidRPr="005F4DAA">
        <w:t>comparaison, sont tirées des conclusions théoriques, sur la résistance des formes traditionnelles de l’avantage social, et des conséquences pratiques, sur le choix des variables par</w:t>
      </w:r>
      <w:r w:rsidR="00D95A8C">
        <w:t xml:space="preserve"> </w:t>
      </w:r>
      <w:r w:rsidR="00D95A8C" w:rsidRPr="005F4DAA">
        <w:t>lesquelles agir pour diminuer l’effet de l’origine sociale sur les performances scolaires.</w:t>
      </w:r>
    </w:p>
    <w:p w14:paraId="238C0A44" w14:textId="77777777" w:rsidR="00E365E7" w:rsidRDefault="00E365E7" w:rsidP="004754FE"/>
    <w:p w14:paraId="77199FC5" w14:textId="4BBE19A9" w:rsidR="00AF0F68" w:rsidRPr="00E365E7" w:rsidRDefault="0091267B" w:rsidP="00232697">
      <w:pPr>
        <w:pStyle w:val="Numroderfrence"/>
      </w:pPr>
      <w:r>
        <w:t xml:space="preserve">Familles défavorisées – </w:t>
      </w:r>
      <w:r w:rsidR="00A462CE">
        <w:t>Approche écosystémique</w:t>
      </w:r>
      <w:r w:rsidR="00DF6055">
        <w:t xml:space="preserve"> – Indicateurs de difficulté scolaire</w:t>
      </w:r>
    </w:p>
    <w:p w14:paraId="5F5FB7BB" w14:textId="4766456A" w:rsidR="00ED1F72" w:rsidRPr="00223919" w:rsidRDefault="00ED1F72" w:rsidP="00ED1F72">
      <w:pPr>
        <w:rPr>
          <w:b/>
          <w:bCs/>
        </w:rPr>
      </w:pPr>
      <w:proofErr w:type="spellStart"/>
      <w:r w:rsidRPr="00546F12">
        <w:rPr>
          <w:b/>
          <w:bCs/>
        </w:rPr>
        <w:t>Rebeiz</w:t>
      </w:r>
      <w:proofErr w:type="spellEnd"/>
      <w:r w:rsidRPr="00546F12">
        <w:rPr>
          <w:b/>
          <w:bCs/>
        </w:rPr>
        <w:t xml:space="preserve">, A. (2018). </w:t>
      </w:r>
      <w:r w:rsidRPr="00ED1F72">
        <w:rPr>
          <w:b/>
          <w:bCs/>
        </w:rPr>
        <w:t>Rassembler les communautés pour mieux soutenir nos élèves.</w:t>
      </w:r>
      <w:r>
        <w:rPr>
          <w:b/>
          <w:bCs/>
        </w:rPr>
        <w:t xml:space="preserve"> </w:t>
      </w:r>
      <w:r w:rsidRPr="00ED1F72">
        <w:rPr>
          <w:b/>
          <w:bCs/>
        </w:rPr>
        <w:t xml:space="preserve">Le réseau </w:t>
      </w:r>
      <w:proofErr w:type="spellStart"/>
      <w:r w:rsidRPr="00ED1F72">
        <w:rPr>
          <w:b/>
          <w:bCs/>
        </w:rPr>
        <w:t>ÉdCan</w:t>
      </w:r>
      <w:proofErr w:type="spellEnd"/>
      <w:r w:rsidRPr="00ED1F72">
        <w:rPr>
          <w:b/>
          <w:bCs/>
        </w:rPr>
        <w:t>.</w:t>
      </w:r>
      <w:r>
        <w:rPr>
          <w:b/>
          <w:bCs/>
        </w:rPr>
        <w:t xml:space="preserve"> </w:t>
      </w:r>
    </w:p>
    <w:p w14:paraId="76186975" w14:textId="71C79B90" w:rsidR="00ED1F72" w:rsidRDefault="00ED1F72" w:rsidP="00ED1F72">
      <w:r>
        <w:t>(Extrait) L’</w:t>
      </w:r>
      <w:proofErr w:type="spellStart"/>
      <w:r>
        <w:t>ÉcoRéussite</w:t>
      </w:r>
      <w:proofErr w:type="spellEnd"/>
      <w:r>
        <w:t xml:space="preserve"> est un partenariat réunissant plus de 20 organismes communautaires qui fournissent des activités et services éducatifs sociaux et récréatifs aux familles défavorisées de la région de Chaudière-Appalaches au Québec, en particulier au sein de la municipalité régionale de comté de Montmagny. « L’</w:t>
      </w:r>
      <w:proofErr w:type="spellStart"/>
      <w:r>
        <w:t>ÉcoRéussite</w:t>
      </w:r>
      <w:proofErr w:type="spellEnd"/>
      <w:r>
        <w:t xml:space="preserve"> » est un terme composé des mots « écosystème » et « réussite ». Le premier terme fait référence à l’environnement dans lequel un enfant ou adolescent est élevé, soit tous les « systèmes » (individus clés et groupes) qui influent sur son développement ; il concerne également l’enfant ou l’adolescent lui-même, sa famille, l’école qu’il fréquente et la collectivité où il vit.1 Le second terme désigne l’objectif que visent les partenaires de ces quatre systèmes : le succès scolaire des jeunes. Ce système peut également être appelé l</w:t>
      </w:r>
      <w:proofErr w:type="gramStart"/>
      <w:r>
        <w:t>’«</w:t>
      </w:r>
      <w:proofErr w:type="gramEnd"/>
      <w:r>
        <w:t xml:space="preserve"> approche écosystémique ». Ce programme a été créé en réponse aux évaluations du rendement d’élèves de quatrième année effectuées en 2011 indiquant un taux de réussite de 50 % en français. Les données recueillies par un organisme de services sociaux communautaire indiquaient également de nombreux cas de négligence parentale et de maltraitance physique et psychologique. En plus de ces indicateurs et des difficultés scolaires de ces élèves, les enseignants avaient mentionné des cas d’intimidation et de troubles liés au comportement et à la capacité de gérer les émotions, ce qui entraînait de fréquentes suspensions et expulsions de la classe. Des organismes communautaires ont également mis en évidence la sous-alphabétisation des parents, le manque d’accès aux livres au sein de ces municipalités et, dans le cas de certains parents, une absence totale de capacité de lire et d’écrire. Huit municipalités de la région sont ciblées en priorité dans les plans d’action du programme en raison de leur niveau de défavorisation. Celle-ci prend la forme d’un faible niveau de scolarité, d’un chômage généralisé et de la fuite des cerveaux à la suite de l’exode des individus les plus instruits et qualifiés, et contribue au cycle du déclin et du vieillissement des populations, des fermetures d’écoles et de la compression des services publics.</w:t>
      </w:r>
    </w:p>
    <w:p w14:paraId="096D494F" w14:textId="77777777" w:rsidR="00E365E7" w:rsidRDefault="00E365E7" w:rsidP="00ED1F72"/>
    <w:p w14:paraId="12C29722" w14:textId="37472651" w:rsidR="00ED1F72" w:rsidRPr="00E86223" w:rsidRDefault="003B538D" w:rsidP="00232697">
      <w:pPr>
        <w:pStyle w:val="Numroderfrence"/>
      </w:pPr>
      <w:r>
        <w:t>Art</w:t>
      </w:r>
      <w:r w:rsidR="00191022">
        <w:t xml:space="preserve"> – Réussite éducative – Motivation – Estime de soi</w:t>
      </w:r>
      <w:r w:rsidR="00C728F2">
        <w:t xml:space="preserve"> – Performance scolaire</w:t>
      </w:r>
    </w:p>
    <w:p w14:paraId="4C06CF58" w14:textId="31B91B5E" w:rsidR="00E714B1" w:rsidRDefault="00E714B1" w:rsidP="007F5C07">
      <w:pPr>
        <w:rPr>
          <w:b/>
          <w:bCs/>
        </w:rPr>
      </w:pPr>
      <w:r>
        <w:rPr>
          <w:b/>
          <w:bCs/>
        </w:rPr>
        <w:t xml:space="preserve">Les arts : un + pour la </w:t>
      </w:r>
      <w:r w:rsidR="00304A1A">
        <w:rPr>
          <w:b/>
          <w:bCs/>
        </w:rPr>
        <w:t>réussite de tous les élèves – Réseau réussite Montréal</w:t>
      </w:r>
    </w:p>
    <w:p w14:paraId="60FB01F4" w14:textId="03C88FFF" w:rsidR="00B1702A" w:rsidRDefault="007F5C07" w:rsidP="00C8117C">
      <w:r>
        <w:t>(</w:t>
      </w:r>
      <w:r w:rsidR="003B538D">
        <w:t>Introduction</w:t>
      </w:r>
      <w:r>
        <w:t xml:space="preserve">) </w:t>
      </w:r>
      <w:r w:rsidR="003B538D" w:rsidRPr="003B538D">
        <w:t>Les élèves qui participent à des activités artistiques ont plus de chances de réussir : ils ont de meilleurs résultats scolaires, sont moins susceptibles de décrocher et deviennent des citoyens plus engagés.</w:t>
      </w:r>
    </w:p>
    <w:p w14:paraId="5A80767D" w14:textId="6C2E4553" w:rsidR="004B7281" w:rsidRPr="00C5562A" w:rsidRDefault="00C5562A" w:rsidP="00C8117C">
      <w:pPr>
        <w:rPr>
          <w:b/>
          <w:bCs/>
        </w:rPr>
      </w:pPr>
      <w:r>
        <w:t xml:space="preserve">Infographie : </w:t>
      </w:r>
      <w:hyperlink r:id="rId25" w:history="1">
        <w:r w:rsidRPr="00B4474E">
          <w:rPr>
            <w:rStyle w:val="Lienhypertexte"/>
            <w:b/>
            <w:bCs/>
          </w:rPr>
          <w:t>https://www.reseaureussitemontreal.ca/wp-content/uploads/2020/02/Infographie_arts_perseverance-LR.pdf</w:t>
        </w:r>
      </w:hyperlink>
      <w:r w:rsidRPr="00B4474E">
        <w:rPr>
          <w:b/>
          <w:bCs/>
        </w:rPr>
        <w:t xml:space="preserve"> </w:t>
      </w:r>
    </w:p>
    <w:p w14:paraId="163AE055" w14:textId="4F97095C" w:rsidR="004B7281" w:rsidRDefault="00C5562A" w:rsidP="00C8117C">
      <w:r>
        <w:t xml:space="preserve">Page web détaillée : </w:t>
      </w:r>
      <w:hyperlink r:id="rId26" w:history="1">
        <w:r w:rsidRPr="00C5562A">
          <w:rPr>
            <w:rStyle w:val="Lienhypertexte"/>
            <w:b/>
            <w:bCs/>
          </w:rPr>
          <w:t>https://www.reseaureussitemontreal.ca/dossiers-thematiques/arts-et-perseverance-scolaire</w:t>
        </w:r>
        <w:r w:rsidRPr="00C5562A">
          <w:rPr>
            <w:rStyle w:val="Lienhypertexte"/>
            <w:b/>
            <w:bCs/>
          </w:rPr>
          <w:t>/</w:t>
        </w:r>
      </w:hyperlink>
      <w:r>
        <w:t xml:space="preserve"> </w:t>
      </w:r>
    </w:p>
    <w:p w14:paraId="035DA92C" w14:textId="77777777" w:rsidR="00E714B1" w:rsidRDefault="00E714B1" w:rsidP="00C8117C"/>
    <w:p w14:paraId="1755B78D" w14:textId="77777777" w:rsidR="00E714B1" w:rsidRPr="00E86223" w:rsidRDefault="00E714B1" w:rsidP="00E714B1">
      <w:pPr>
        <w:pStyle w:val="Numroderfrence"/>
      </w:pPr>
      <w:r>
        <w:t>Littératie – Parents partenaires – Compétences de lecture – Lecture partagée</w:t>
      </w:r>
    </w:p>
    <w:p w14:paraId="4E6F679A" w14:textId="77777777" w:rsidR="00E714B1" w:rsidRPr="00223919" w:rsidRDefault="00E714B1" w:rsidP="00E714B1">
      <w:pPr>
        <w:rPr>
          <w:b/>
          <w:bCs/>
        </w:rPr>
      </w:pPr>
      <w:r w:rsidRPr="00223919">
        <w:rPr>
          <w:b/>
          <w:bCs/>
        </w:rPr>
        <w:t xml:space="preserve">SILINSKAS, G., SÉNÉCHAL, M., TORPPA, M., ET LERKKANEN, M. K. (2020). </w:t>
      </w:r>
      <w:r w:rsidRPr="00223919">
        <w:rPr>
          <w:b/>
          <w:bCs/>
          <w:lang w:val="en-CA"/>
        </w:rPr>
        <w:t xml:space="preserve">Home literacy activities and children’s reading </w:t>
      </w:r>
      <w:proofErr w:type="gramStart"/>
      <w:r w:rsidRPr="00223919">
        <w:rPr>
          <w:b/>
          <w:bCs/>
          <w:lang w:val="en-CA"/>
        </w:rPr>
        <w:t>skills :</w:t>
      </w:r>
      <w:proofErr w:type="gramEnd"/>
      <w:r w:rsidRPr="00223919">
        <w:rPr>
          <w:b/>
          <w:bCs/>
          <w:lang w:val="en-CA"/>
        </w:rPr>
        <w:t xml:space="preserve"> Independent reading, and interest in literacy activities from kindergarten to grade 2. </w:t>
      </w:r>
      <w:proofErr w:type="spellStart"/>
      <w:r w:rsidRPr="00223919">
        <w:rPr>
          <w:b/>
          <w:bCs/>
        </w:rPr>
        <w:t>Frontiers</w:t>
      </w:r>
      <w:proofErr w:type="spellEnd"/>
      <w:r w:rsidRPr="00223919">
        <w:rPr>
          <w:b/>
          <w:bCs/>
        </w:rPr>
        <w:t xml:space="preserve"> in Psychology, 11, p. 1-15. URL : </w:t>
      </w:r>
      <w:hyperlink r:id="rId27" w:history="1">
        <w:r w:rsidRPr="00223919">
          <w:rPr>
            <w:rStyle w:val="Lienhypertexte"/>
            <w:b/>
            <w:bCs/>
          </w:rPr>
          <w:t>https://www.frontiersin.org/articles/10.3389/fpsyg.2020.01508/full</w:t>
        </w:r>
      </w:hyperlink>
      <w:r w:rsidRPr="00223919">
        <w:rPr>
          <w:b/>
          <w:bCs/>
        </w:rPr>
        <w:t xml:space="preserve"> </w:t>
      </w:r>
    </w:p>
    <w:p w14:paraId="22E64E72" w14:textId="77777777" w:rsidR="00E714B1" w:rsidRDefault="00E714B1" w:rsidP="00E714B1">
      <w:r>
        <w:t xml:space="preserve">(Traduction libre) </w:t>
      </w:r>
      <w:r w:rsidRPr="007F5C07">
        <w:t xml:space="preserve">Cette étude a documenté les interrelations longitudinales entre les activités de littératie des parents à la maison, les compétences en lecture des enfants, leur intérêt et leur lecture autonome de la maternelle à la 2e année. Ce modèle nous a permis d'élargir le Home </w:t>
      </w:r>
      <w:proofErr w:type="spellStart"/>
      <w:r w:rsidRPr="007F5C07">
        <w:t>Literacy</w:t>
      </w:r>
      <w:proofErr w:type="spellEnd"/>
      <w:r w:rsidRPr="007F5C07">
        <w:t xml:space="preserve"> Model (Sénéchal et </w:t>
      </w:r>
      <w:proofErr w:type="spellStart"/>
      <w:r w:rsidRPr="007F5C07">
        <w:t>LeFevre</w:t>
      </w:r>
      <w:proofErr w:type="spellEnd"/>
      <w:r w:rsidRPr="007F5C07">
        <w:t>, 2002, 2014) de trois façons. Premièrement, nous avons démontré que la lecture partagée et l'enseignement parental, en plus des compétences en littératie précoce, toutes mesurées à la maternelle, prédisaient longitudinalement la lecture autonome des enfants finlandais à la fin de la première année. Deuxièmement, les enfants ayant de meilleures compétences en lecture précoce au jardin d'enfants lisent plus souvent de manière indépendante une fois qu'ils sont en première année. Troisièmement, nous avons montré que les mères adaptaient rapidement leurs comportements pédagogiques aux progrès de leurs enfants en lecture. En tant que tels, les présents résultats renforcent la notion souvent citée selon laquelle les parents sont des partenaires clés dans l'éducation de leurs jeunes enfants.</w:t>
      </w:r>
    </w:p>
    <w:p w14:paraId="2E553EC4" w14:textId="77777777" w:rsidR="00E714B1" w:rsidRDefault="00E714B1" w:rsidP="00C8117C"/>
    <w:sectPr w:rsidR="00E714B1" w:rsidSect="00F845C8">
      <w:footerReference w:type="default" r:id="rId28"/>
      <w:pgSz w:w="12240" w:h="15840" w:code="1"/>
      <w:pgMar w:top="794"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6AEA" w14:textId="77777777" w:rsidR="00951B24" w:rsidRDefault="00951B24" w:rsidP="003F1A92">
      <w:pPr>
        <w:spacing w:before="0" w:after="0"/>
      </w:pPr>
      <w:r>
        <w:separator/>
      </w:r>
    </w:p>
  </w:endnote>
  <w:endnote w:type="continuationSeparator" w:id="0">
    <w:p w14:paraId="1D519399" w14:textId="77777777" w:rsidR="00951B24" w:rsidRDefault="00951B24" w:rsidP="003F1A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CEA4" w14:textId="3E15B4A4" w:rsidR="003F1A92" w:rsidRDefault="003F1A92">
    <w:pPr>
      <w:pStyle w:val="Pieddepage"/>
    </w:pPr>
    <w:r>
      <w:t xml:space="preserve">Page </w:t>
    </w:r>
    <w:r>
      <w:fldChar w:fldCharType="begin"/>
    </w:r>
    <w:r>
      <w:instrText xml:space="preserve"> PAGE   \* MERGEFORMAT </w:instrText>
    </w:r>
    <w:r>
      <w:fldChar w:fldCharType="separate"/>
    </w:r>
    <w:r>
      <w:rPr>
        <w:noProof/>
      </w:rPr>
      <w:t>5</w:t>
    </w:r>
    <w:r>
      <w:fldChar w:fldCharType="end"/>
    </w:r>
    <w:r>
      <w:t xml:space="preserve"> de </w:t>
    </w:r>
    <w:r w:rsidR="00993BA8">
      <w:fldChar w:fldCharType="begin"/>
    </w:r>
    <w:r w:rsidR="00993BA8">
      <w:instrText xml:space="preserve"> NUMPAGES   \* MERGEFORMAT </w:instrText>
    </w:r>
    <w:r w:rsidR="00993BA8">
      <w:fldChar w:fldCharType="separate"/>
    </w:r>
    <w:r>
      <w:rPr>
        <w:noProof/>
      </w:rPr>
      <w:t>6</w:t>
    </w:r>
    <w:r w:rsidR="00993B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9BD4" w14:textId="77777777" w:rsidR="00951B24" w:rsidRDefault="00951B24" w:rsidP="003F1A92">
      <w:pPr>
        <w:spacing w:before="0" w:after="0"/>
      </w:pPr>
      <w:r>
        <w:separator/>
      </w:r>
    </w:p>
  </w:footnote>
  <w:footnote w:type="continuationSeparator" w:id="0">
    <w:p w14:paraId="68A4E2B2" w14:textId="77777777" w:rsidR="00951B24" w:rsidRDefault="00951B24" w:rsidP="003F1A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5CA"/>
    <w:multiLevelType w:val="hybridMultilevel"/>
    <w:tmpl w:val="AB8A5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DA05D3"/>
    <w:multiLevelType w:val="hybridMultilevel"/>
    <w:tmpl w:val="4BBCB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76C0CEA"/>
    <w:multiLevelType w:val="hybridMultilevel"/>
    <w:tmpl w:val="E570BC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DD11D9A"/>
    <w:multiLevelType w:val="hybridMultilevel"/>
    <w:tmpl w:val="7CD8E5B2"/>
    <w:lvl w:ilvl="0" w:tplc="69F2D424">
      <w:start w:val="1"/>
      <w:numFmt w:val="decimal"/>
      <w:pStyle w:val="Numroderfrence"/>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4349652">
    <w:abstractNumId w:val="2"/>
  </w:num>
  <w:num w:numId="2" w16cid:durableId="1139956713">
    <w:abstractNumId w:val="1"/>
  </w:num>
  <w:num w:numId="3" w16cid:durableId="824123178">
    <w:abstractNumId w:val="3"/>
  </w:num>
  <w:num w:numId="4" w16cid:durableId="2035761782">
    <w:abstractNumId w:val="0"/>
  </w:num>
  <w:num w:numId="5" w16cid:durableId="136263345">
    <w:abstractNumId w:val="3"/>
    <w:lvlOverride w:ilvl="0">
      <w:startOverride w:val="1"/>
    </w:lvlOverride>
  </w:num>
  <w:num w:numId="6" w16cid:durableId="1685785725">
    <w:abstractNumId w:val="3"/>
    <w:lvlOverride w:ilvl="0">
      <w:startOverride w:val="1"/>
    </w:lvlOverride>
  </w:num>
  <w:num w:numId="7" w16cid:durableId="10884298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46"/>
    <w:rsid w:val="0002597E"/>
    <w:rsid w:val="000445DC"/>
    <w:rsid w:val="000A0C65"/>
    <w:rsid w:val="000D524F"/>
    <w:rsid w:val="00143F91"/>
    <w:rsid w:val="001550FC"/>
    <w:rsid w:val="00165B12"/>
    <w:rsid w:val="001807B3"/>
    <w:rsid w:val="00181FC0"/>
    <w:rsid w:val="00191022"/>
    <w:rsid w:val="001D4FBA"/>
    <w:rsid w:val="001F1E5B"/>
    <w:rsid w:val="001F7457"/>
    <w:rsid w:val="00223919"/>
    <w:rsid w:val="00227F49"/>
    <w:rsid w:val="002317F1"/>
    <w:rsid w:val="00232697"/>
    <w:rsid w:val="002425F3"/>
    <w:rsid w:val="002E1040"/>
    <w:rsid w:val="002F10B1"/>
    <w:rsid w:val="00304A1A"/>
    <w:rsid w:val="00372E5C"/>
    <w:rsid w:val="003B0C37"/>
    <w:rsid w:val="003B538D"/>
    <w:rsid w:val="003D5523"/>
    <w:rsid w:val="003F1A92"/>
    <w:rsid w:val="00401BE2"/>
    <w:rsid w:val="00423592"/>
    <w:rsid w:val="00434096"/>
    <w:rsid w:val="00452490"/>
    <w:rsid w:val="004566BA"/>
    <w:rsid w:val="00460515"/>
    <w:rsid w:val="0047239C"/>
    <w:rsid w:val="00474230"/>
    <w:rsid w:val="004754FE"/>
    <w:rsid w:val="00481C47"/>
    <w:rsid w:val="004B7281"/>
    <w:rsid w:val="004E567A"/>
    <w:rsid w:val="004F333D"/>
    <w:rsid w:val="00527805"/>
    <w:rsid w:val="00546F12"/>
    <w:rsid w:val="00550DED"/>
    <w:rsid w:val="0059434F"/>
    <w:rsid w:val="005D24E8"/>
    <w:rsid w:val="005D3724"/>
    <w:rsid w:val="005F042A"/>
    <w:rsid w:val="005F2FB4"/>
    <w:rsid w:val="005F4DAA"/>
    <w:rsid w:val="0061022B"/>
    <w:rsid w:val="00637E83"/>
    <w:rsid w:val="00656FB2"/>
    <w:rsid w:val="00670F70"/>
    <w:rsid w:val="00686FC6"/>
    <w:rsid w:val="006B5C4B"/>
    <w:rsid w:val="006C024C"/>
    <w:rsid w:val="006D5447"/>
    <w:rsid w:val="006F623B"/>
    <w:rsid w:val="006F66E2"/>
    <w:rsid w:val="007112EB"/>
    <w:rsid w:val="00734EC4"/>
    <w:rsid w:val="007670F1"/>
    <w:rsid w:val="00781450"/>
    <w:rsid w:val="007A750A"/>
    <w:rsid w:val="007A77E6"/>
    <w:rsid w:val="007F5681"/>
    <w:rsid w:val="007F5C07"/>
    <w:rsid w:val="00806395"/>
    <w:rsid w:val="008545C3"/>
    <w:rsid w:val="00874EF4"/>
    <w:rsid w:val="008978F4"/>
    <w:rsid w:val="008C1AEF"/>
    <w:rsid w:val="008C260B"/>
    <w:rsid w:val="008D6FE5"/>
    <w:rsid w:val="0091267B"/>
    <w:rsid w:val="00951B24"/>
    <w:rsid w:val="00993BA8"/>
    <w:rsid w:val="009A779C"/>
    <w:rsid w:val="009D05EF"/>
    <w:rsid w:val="00A045E5"/>
    <w:rsid w:val="00A253F0"/>
    <w:rsid w:val="00A36D4F"/>
    <w:rsid w:val="00A40575"/>
    <w:rsid w:val="00A426F8"/>
    <w:rsid w:val="00A4464F"/>
    <w:rsid w:val="00A462CE"/>
    <w:rsid w:val="00A5662E"/>
    <w:rsid w:val="00A90CD7"/>
    <w:rsid w:val="00A9147F"/>
    <w:rsid w:val="00AB1A7C"/>
    <w:rsid w:val="00AD2515"/>
    <w:rsid w:val="00AD4E74"/>
    <w:rsid w:val="00AD688C"/>
    <w:rsid w:val="00AF0F68"/>
    <w:rsid w:val="00B01422"/>
    <w:rsid w:val="00B1702A"/>
    <w:rsid w:val="00B4474E"/>
    <w:rsid w:val="00B632EE"/>
    <w:rsid w:val="00B8745E"/>
    <w:rsid w:val="00BB2DFF"/>
    <w:rsid w:val="00BE3F2A"/>
    <w:rsid w:val="00BF2117"/>
    <w:rsid w:val="00C07807"/>
    <w:rsid w:val="00C17686"/>
    <w:rsid w:val="00C55414"/>
    <w:rsid w:val="00C5562A"/>
    <w:rsid w:val="00C61B73"/>
    <w:rsid w:val="00C62FA1"/>
    <w:rsid w:val="00C66A90"/>
    <w:rsid w:val="00C728F2"/>
    <w:rsid w:val="00C8117C"/>
    <w:rsid w:val="00CA56BE"/>
    <w:rsid w:val="00CB562B"/>
    <w:rsid w:val="00CC221C"/>
    <w:rsid w:val="00CD27E0"/>
    <w:rsid w:val="00D14D6C"/>
    <w:rsid w:val="00D64420"/>
    <w:rsid w:val="00D87102"/>
    <w:rsid w:val="00D940D4"/>
    <w:rsid w:val="00D95A8C"/>
    <w:rsid w:val="00DA471D"/>
    <w:rsid w:val="00DA71D0"/>
    <w:rsid w:val="00DF2283"/>
    <w:rsid w:val="00DF6055"/>
    <w:rsid w:val="00E365E7"/>
    <w:rsid w:val="00E714B1"/>
    <w:rsid w:val="00E820E3"/>
    <w:rsid w:val="00E86223"/>
    <w:rsid w:val="00EA0412"/>
    <w:rsid w:val="00EA293F"/>
    <w:rsid w:val="00ED1F72"/>
    <w:rsid w:val="00EE033D"/>
    <w:rsid w:val="00EF2B70"/>
    <w:rsid w:val="00F46746"/>
    <w:rsid w:val="00F845C8"/>
    <w:rsid w:val="00FE78BE"/>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82C66"/>
  <w15:chartTrackingRefBased/>
  <w15:docId w15:val="{ED6724B6-03DC-40F3-B0CC-461F39EB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8C"/>
    <w:pPr>
      <w:spacing w:before="120" w:after="120" w:line="240" w:lineRule="auto"/>
    </w:pPr>
  </w:style>
  <w:style w:type="paragraph" w:styleId="Titre1">
    <w:name w:val="heading 1"/>
    <w:basedOn w:val="Normal"/>
    <w:next w:val="Normal"/>
    <w:link w:val="Titre1Car"/>
    <w:uiPriority w:val="9"/>
    <w:qFormat/>
    <w:rsid w:val="00F46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6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67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67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67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6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6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6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6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67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67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67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67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67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6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6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6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6746"/>
    <w:rPr>
      <w:rFonts w:eastAsiaTheme="majorEastAsia" w:cstheme="majorBidi"/>
      <w:color w:val="272727" w:themeColor="text1" w:themeTint="D8"/>
    </w:rPr>
  </w:style>
  <w:style w:type="paragraph" w:styleId="Titre">
    <w:name w:val="Title"/>
    <w:basedOn w:val="Normal"/>
    <w:next w:val="Normal"/>
    <w:link w:val="TitreCar"/>
    <w:uiPriority w:val="10"/>
    <w:qFormat/>
    <w:rsid w:val="00F4674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6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67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6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6746"/>
    <w:pPr>
      <w:spacing w:before="160"/>
      <w:jc w:val="center"/>
    </w:pPr>
    <w:rPr>
      <w:i/>
      <w:iCs/>
      <w:color w:val="404040" w:themeColor="text1" w:themeTint="BF"/>
    </w:rPr>
  </w:style>
  <w:style w:type="character" w:customStyle="1" w:styleId="CitationCar">
    <w:name w:val="Citation Car"/>
    <w:basedOn w:val="Policepardfaut"/>
    <w:link w:val="Citation"/>
    <w:uiPriority w:val="29"/>
    <w:rsid w:val="00F46746"/>
    <w:rPr>
      <w:i/>
      <w:iCs/>
      <w:color w:val="404040" w:themeColor="text1" w:themeTint="BF"/>
    </w:rPr>
  </w:style>
  <w:style w:type="paragraph" w:styleId="Paragraphedeliste">
    <w:name w:val="List Paragraph"/>
    <w:basedOn w:val="Normal"/>
    <w:uiPriority w:val="34"/>
    <w:qFormat/>
    <w:rsid w:val="00F46746"/>
    <w:pPr>
      <w:ind w:left="720"/>
      <w:contextualSpacing/>
    </w:pPr>
  </w:style>
  <w:style w:type="character" w:styleId="Accentuationintense">
    <w:name w:val="Intense Emphasis"/>
    <w:basedOn w:val="Policepardfaut"/>
    <w:uiPriority w:val="21"/>
    <w:qFormat/>
    <w:rsid w:val="00F46746"/>
    <w:rPr>
      <w:i/>
      <w:iCs/>
      <w:color w:val="0F4761" w:themeColor="accent1" w:themeShade="BF"/>
    </w:rPr>
  </w:style>
  <w:style w:type="paragraph" w:styleId="Citationintense">
    <w:name w:val="Intense Quote"/>
    <w:basedOn w:val="Normal"/>
    <w:next w:val="Normal"/>
    <w:link w:val="CitationintenseCar"/>
    <w:uiPriority w:val="30"/>
    <w:qFormat/>
    <w:rsid w:val="00F46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6746"/>
    <w:rPr>
      <w:i/>
      <w:iCs/>
      <w:color w:val="0F4761" w:themeColor="accent1" w:themeShade="BF"/>
    </w:rPr>
  </w:style>
  <w:style w:type="character" w:styleId="Rfrenceintense">
    <w:name w:val="Intense Reference"/>
    <w:basedOn w:val="Policepardfaut"/>
    <w:uiPriority w:val="32"/>
    <w:qFormat/>
    <w:rsid w:val="00F46746"/>
    <w:rPr>
      <w:b/>
      <w:bCs/>
      <w:smallCaps/>
      <w:color w:val="0F4761" w:themeColor="accent1" w:themeShade="BF"/>
      <w:spacing w:val="5"/>
    </w:rPr>
  </w:style>
  <w:style w:type="table" w:styleId="Grilledutableau">
    <w:name w:val="Table Grid"/>
    <w:basedOn w:val="TableauNormal"/>
    <w:uiPriority w:val="39"/>
    <w:rsid w:val="00F46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F46746"/>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6">
    <w:name w:val="Grid Table 4 Accent 6"/>
    <w:basedOn w:val="TableauNormal"/>
    <w:uiPriority w:val="49"/>
    <w:rsid w:val="00F4674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Lienhypertexte">
    <w:name w:val="Hyperlink"/>
    <w:basedOn w:val="Policepardfaut"/>
    <w:uiPriority w:val="99"/>
    <w:unhideWhenUsed/>
    <w:rsid w:val="00AD688C"/>
    <w:rPr>
      <w:color w:val="467886" w:themeColor="hyperlink"/>
      <w:u w:val="single"/>
    </w:rPr>
  </w:style>
  <w:style w:type="character" w:styleId="Mentionnonrsolue">
    <w:name w:val="Unresolved Mention"/>
    <w:basedOn w:val="Policepardfaut"/>
    <w:uiPriority w:val="99"/>
    <w:semiHidden/>
    <w:unhideWhenUsed/>
    <w:rsid w:val="00AD688C"/>
    <w:rPr>
      <w:color w:val="605E5C"/>
      <w:shd w:val="clear" w:color="auto" w:fill="E1DFDD"/>
    </w:rPr>
  </w:style>
  <w:style w:type="character" w:styleId="Lienhypertextesuivivisit">
    <w:name w:val="FollowedHyperlink"/>
    <w:basedOn w:val="Policepardfaut"/>
    <w:uiPriority w:val="99"/>
    <w:semiHidden/>
    <w:unhideWhenUsed/>
    <w:rsid w:val="00165B12"/>
    <w:rPr>
      <w:color w:val="96607D" w:themeColor="followedHyperlink"/>
      <w:u w:val="single"/>
    </w:rPr>
  </w:style>
  <w:style w:type="paragraph" w:styleId="En-tte">
    <w:name w:val="header"/>
    <w:basedOn w:val="Normal"/>
    <w:link w:val="En-tteCar"/>
    <w:uiPriority w:val="99"/>
    <w:unhideWhenUsed/>
    <w:rsid w:val="003F1A92"/>
    <w:pPr>
      <w:tabs>
        <w:tab w:val="center" w:pos="4703"/>
        <w:tab w:val="right" w:pos="9406"/>
      </w:tabs>
      <w:spacing w:before="0" w:after="0"/>
    </w:pPr>
  </w:style>
  <w:style w:type="character" w:customStyle="1" w:styleId="En-tteCar">
    <w:name w:val="En-tête Car"/>
    <w:basedOn w:val="Policepardfaut"/>
    <w:link w:val="En-tte"/>
    <w:uiPriority w:val="99"/>
    <w:rsid w:val="003F1A92"/>
  </w:style>
  <w:style w:type="paragraph" w:styleId="Pieddepage">
    <w:name w:val="footer"/>
    <w:basedOn w:val="Normal"/>
    <w:link w:val="PieddepageCar"/>
    <w:uiPriority w:val="99"/>
    <w:unhideWhenUsed/>
    <w:rsid w:val="003F1A92"/>
    <w:pPr>
      <w:tabs>
        <w:tab w:val="center" w:pos="4703"/>
        <w:tab w:val="right" w:pos="9406"/>
      </w:tabs>
      <w:spacing w:before="0" w:after="0"/>
    </w:pPr>
  </w:style>
  <w:style w:type="character" w:customStyle="1" w:styleId="PieddepageCar">
    <w:name w:val="Pied de page Car"/>
    <w:basedOn w:val="Policepardfaut"/>
    <w:link w:val="Pieddepage"/>
    <w:uiPriority w:val="99"/>
    <w:rsid w:val="003F1A92"/>
  </w:style>
  <w:style w:type="paragraph" w:customStyle="1" w:styleId="Numroderfrence">
    <w:name w:val="Numéro de référence"/>
    <w:basedOn w:val="Paragraphedeliste"/>
    <w:qFormat/>
    <w:rsid w:val="00232697"/>
    <w:pPr>
      <w:numPr>
        <w:numId w:val="3"/>
      </w:numPr>
      <w:pBdr>
        <w:bottom w:val="single" w:sz="4" w:space="1" w:color="auto"/>
      </w:pBdr>
      <w:spacing w:after="240"/>
      <w:ind w:left="426" w:hanging="426"/>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202/1092718ar" TargetMode="External"/><Relationship Id="rId18" Type="http://schemas.openxmlformats.org/officeDocument/2006/relationships/hyperlink" Target="https://hal.science/hal-02052129/document" TargetMode="External"/><Relationship Id="rId26" Type="http://schemas.openxmlformats.org/officeDocument/2006/relationships/hyperlink" Target="https://www.reseaureussitemontreal.ca/dossiers-thematiques/arts-et-perseverance-scolaire/" TargetMode="External"/><Relationship Id="rId3" Type="http://schemas.openxmlformats.org/officeDocument/2006/relationships/numbering" Target="numbering.xml"/><Relationship Id="rId21" Type="http://schemas.openxmlformats.org/officeDocument/2006/relationships/hyperlink" Target="https://www.abpq.ca/pdf/Memoire_2021-04-09_ABPQ_Reussite-educative_MEES.pdf" TargetMode="External"/><Relationship Id="rId7" Type="http://schemas.openxmlformats.org/officeDocument/2006/relationships/footnotes" Target="footnotes.xml"/><Relationship Id="rId12" Type="http://schemas.openxmlformats.org/officeDocument/2006/relationships/hyperlink" Target="https://edworkingpapers.com/sites/default/files/SchoolsOut_AtteberryMcEachin_2020_0520.pdf" TargetMode="External"/><Relationship Id="rId17" Type="http://schemas.openxmlformats.org/officeDocument/2006/relationships/hyperlink" Target="https://www.researchgate.net/publication/349766799" TargetMode="External"/><Relationship Id="rId25" Type="http://schemas.openxmlformats.org/officeDocument/2006/relationships/hyperlink" Target="https://www.reseaureussitemontreal.ca/wp-content/uploads/2020/02/Infographie_arts_perseverance-LR.pdf" TargetMode="External"/><Relationship Id="rId2" Type="http://schemas.openxmlformats.org/officeDocument/2006/relationships/customXml" Target="../customXml/item2.xml"/><Relationship Id="rId16" Type="http://schemas.openxmlformats.org/officeDocument/2006/relationships/hyperlink" Target="https://www.researchgate.net/publication/5825913_School_Readiness_and_Later_Achievement" TargetMode="External"/><Relationship Id="rId20" Type="http://schemas.openxmlformats.org/officeDocument/2006/relationships/hyperlink" Target="https://www.nwea.org/research/publication/the-covid-19-slide-what-summer-learning-loss-can-tell-us-about-the-potential-impact-of-school-closures-on-student-academic-achiev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Summer-Slide-What-About-Learning/dp/0807757993" TargetMode="External"/><Relationship Id="rId24" Type="http://schemas.openxmlformats.org/officeDocument/2006/relationships/hyperlink" Target="https://www.cairn.info/revue-francaise-de-sociologie-1-2006-1-page-49.htm" TargetMode="External"/><Relationship Id="rId5" Type="http://schemas.openxmlformats.org/officeDocument/2006/relationships/settings" Target="settings.xml"/><Relationship Id="rId15" Type="http://schemas.openxmlformats.org/officeDocument/2006/relationships/hyperlink" Target="https://www.researchgate.net/publication/315335638" TargetMode="External"/><Relationship Id="rId23" Type="http://schemas.openxmlformats.org/officeDocument/2006/relationships/hyperlink" Target="https://doi.org/10.6084/m9.figshare.16599383.v1" TargetMode="External"/><Relationship Id="rId28" Type="http://schemas.openxmlformats.org/officeDocument/2006/relationships/footer" Target="footer1.xml"/><Relationship Id="rId10" Type="http://schemas.openxmlformats.org/officeDocument/2006/relationships/hyperlink" Target="https://doi.org/10.1177/000312240707200202" TargetMode="External"/><Relationship Id="rId19" Type="http://schemas.openxmlformats.org/officeDocument/2006/relationships/hyperlink" Target="https://www.nwea.org/blog/2021/summer-learning-loss-what-we-know-what-were-learning/" TargetMode="External"/><Relationship Id="rId4" Type="http://schemas.openxmlformats.org/officeDocument/2006/relationships/styles" Target="styles.xml"/><Relationship Id="rId9" Type="http://schemas.openxmlformats.org/officeDocument/2006/relationships/hyperlink" Target="https://www.erudit.org/fr/revues/enjeux/2021-v8-n1-enjeux05972/1076542ar/" TargetMode="External"/><Relationship Id="rId14" Type="http://schemas.openxmlformats.org/officeDocument/2006/relationships/hyperlink" Target="https://jyd.pitt.edu/ojs/jyd/article/view/181301FA08" TargetMode="External"/><Relationship Id="rId22" Type="http://schemas.openxmlformats.org/officeDocument/2006/relationships/hyperlink" Target="https://www.cairn.info/revue-francaise-de-sociologie-1-2006-1-page-49.htm" TargetMode="External"/><Relationship Id="rId27" Type="http://schemas.openxmlformats.org/officeDocument/2006/relationships/hyperlink" Target="https://www.frontiersin.org/articles/10.3389/fpsyg.2020.01508/full"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6358902000548980F2EBF43B6FAB6" ma:contentTypeVersion="10" ma:contentTypeDescription="Crée un document." ma:contentTypeScope="" ma:versionID="18c2c108406876d1b35d4a2e1f8bbe3f">
  <xsd:schema xmlns:xsd="http://www.w3.org/2001/XMLSchema" xmlns:xs="http://www.w3.org/2001/XMLSchema" xmlns:p="http://schemas.microsoft.com/office/2006/metadata/properties" xmlns:ns2="2ee3bfc5-9acc-4410-8ff4-08045442a77e" xmlns:ns3="a63ecebd-0c15-4827-b4e1-cd0317630bc1" targetNamespace="http://schemas.microsoft.com/office/2006/metadata/properties" ma:root="true" ma:fieldsID="895387a6e4acf0ebe966df406c6e38b0" ns2:_="" ns3:_="">
    <xsd:import namespace="2ee3bfc5-9acc-4410-8ff4-08045442a77e"/>
    <xsd:import namespace="a63ecebd-0c15-4827-b4e1-cd0317630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3bfc5-9acc-4410-8ff4-08045442a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815b24d1-b354-46c7-a5c5-c0381cf08cb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cebd-0c15-4827-b4e1-cd0317630b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ac49ee-6009-47be-97dd-c741a68a8752}" ma:internalName="TaxCatchAll" ma:showField="CatchAllData" ma:web="a63ecebd-0c15-4827-b4e1-cd0317630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3CD18-A705-41FE-9C40-BFF408C8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3bfc5-9acc-4410-8ff4-08045442a77e"/>
    <ds:schemaRef ds:uri="a63ecebd-0c15-4827-b4e1-cd0317630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62D1D-5FFD-4670-9C95-498A4D80B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4456</Words>
  <Characters>24514</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Chantale Pelletier</dc:creator>
  <cp:keywords/>
  <dc:description/>
  <cp:lastModifiedBy>Chantale Pelletier</cp:lastModifiedBy>
  <cp:revision>61</cp:revision>
  <dcterms:created xsi:type="dcterms:W3CDTF">2024-01-26T14:01:00Z</dcterms:created>
  <dcterms:modified xsi:type="dcterms:W3CDTF">2024-01-26T15:02:00Z</dcterms:modified>
</cp:coreProperties>
</file>